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BF" w:rsidRDefault="00C14DBF" w:rsidP="00C14DB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Звіт про періодичне відстеження </w:t>
      </w:r>
    </w:p>
    <w:p w:rsidR="00C14DBF" w:rsidRDefault="00C14DBF" w:rsidP="00C14DB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результативності регуляторного акта</w:t>
      </w:r>
    </w:p>
    <w:p w:rsidR="00C14DBF" w:rsidRDefault="00C14DBF" w:rsidP="00C14DBF">
      <w:pPr>
        <w:rPr>
          <w:b/>
          <w:sz w:val="28"/>
          <w:szCs w:val="28"/>
          <w:lang w:val="uk-UA"/>
        </w:rPr>
      </w:pPr>
    </w:p>
    <w:p w:rsidR="00C14DBF" w:rsidRDefault="00C14DBF" w:rsidP="00C14DBF">
      <w:pPr>
        <w:rPr>
          <w:b/>
          <w:sz w:val="28"/>
          <w:szCs w:val="28"/>
          <w:lang w:val="uk-UA"/>
        </w:rPr>
      </w:pPr>
    </w:p>
    <w:p w:rsidR="00C14DBF" w:rsidRDefault="00C14DBF" w:rsidP="00C14DBF">
      <w:pPr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Вид та назва регуляторного акта</w:t>
      </w:r>
    </w:p>
    <w:p w:rsidR="00C14DBF" w:rsidRDefault="00C14DBF" w:rsidP="00C14DBF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 голови Чернігівської обласної  державної  адміністрації</w:t>
      </w:r>
    </w:p>
    <w:p w:rsidR="00C14DBF" w:rsidRDefault="00C14DBF" w:rsidP="00C14D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21.02.2007 № 56  «Про норматив рентабельності на торф паливний кусковий», зареєстроване  в  Чернігівському обласному управлінні юстиції Міністерства юстиції України 03.03.2007 за №4/627.</w:t>
      </w:r>
    </w:p>
    <w:p w:rsidR="00C14DBF" w:rsidRDefault="00C14DBF" w:rsidP="00C14DBF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>2.    Виконавець заходів з відстеження</w:t>
      </w:r>
    </w:p>
    <w:p w:rsidR="00C14DBF" w:rsidRDefault="00C14DBF" w:rsidP="00C14DB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>Головне  управління  економіки облдержадміністрації.</w:t>
      </w:r>
    </w:p>
    <w:p w:rsidR="00C14DBF" w:rsidRDefault="00C14DBF" w:rsidP="00C14DBF">
      <w:pPr>
        <w:numPr>
          <w:ilvl w:val="0"/>
          <w:numId w:val="2"/>
        </w:num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  Цілі прийняття акта</w:t>
      </w:r>
    </w:p>
    <w:p w:rsidR="00C14DBF" w:rsidRDefault="00C14DBF" w:rsidP="00C14DB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 xml:space="preserve">      </w:t>
      </w:r>
      <w:r>
        <w:rPr>
          <w:b/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Метою розроблення даного розпорядження є реалізація наданих облдержадміністрації повноважень щодо встановлення нормативу рентабельності на торф паливний кусковий, а саме на виконання,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постанови  Кабінету   Міністрів    України    від 25.12.1996 № 1548 «Про встановлення повноважень органів виконавчої влади та виконавчих органів міських рад щодо регулювання цін (тарифів)» (зі змінами та доповненнями) та розпорядження голови облдержадміністрації від 17.05.2006 № 216 «Про ціноутворення» (зі змінами та доповненнями) і спрямоване на реалізацію держаної політики ціноутворення на паливно-енергетичному ринку, сприяння безперебійному забезпеченню населення соціально важливими видами палива, недопущення дестабілізації на </w:t>
      </w:r>
      <w:proofErr w:type="spellStart"/>
      <w:r>
        <w:rPr>
          <w:sz w:val="28"/>
          <w:szCs w:val="28"/>
          <w:lang w:val="uk-UA"/>
        </w:rPr>
        <w:t>паливно-енерготичному</w:t>
      </w:r>
      <w:proofErr w:type="spellEnd"/>
      <w:r>
        <w:rPr>
          <w:sz w:val="28"/>
          <w:szCs w:val="28"/>
          <w:lang w:val="uk-UA"/>
        </w:rPr>
        <w:t xml:space="preserve"> ринку області.</w:t>
      </w:r>
    </w:p>
    <w:p w:rsidR="00C14DBF" w:rsidRDefault="00C14DBF" w:rsidP="00C14D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>4.   Строк виконання заходів з відстеження</w:t>
      </w:r>
    </w:p>
    <w:p w:rsidR="00C14DBF" w:rsidRDefault="00C14DBF" w:rsidP="00C14DBF">
      <w:pPr>
        <w:ind w:left="49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24.02.2012 – 27.02.2012</w:t>
      </w:r>
    </w:p>
    <w:p w:rsidR="00C14DBF" w:rsidRDefault="00C14DBF" w:rsidP="00C14DB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5.    Тип відстеження </w:t>
      </w:r>
    </w:p>
    <w:p w:rsidR="00C14DBF" w:rsidRDefault="00C14DBF" w:rsidP="00C14DBF">
      <w:pPr>
        <w:ind w:left="49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Періодичне.</w:t>
      </w:r>
    </w:p>
    <w:p w:rsidR="00C14DBF" w:rsidRDefault="00C14DBF" w:rsidP="00C14DBF">
      <w:pPr>
        <w:ind w:left="495"/>
        <w:jc w:val="both"/>
        <w:rPr>
          <w:sz w:val="28"/>
          <w:szCs w:val="28"/>
          <w:lang w:val="uk-UA"/>
        </w:rPr>
      </w:pPr>
    </w:p>
    <w:p w:rsidR="00C14DBF" w:rsidRDefault="00C14DBF" w:rsidP="00C14DB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6.   Метод  одержання результатів відстеження  </w:t>
      </w:r>
    </w:p>
    <w:p w:rsidR="00C14DBF" w:rsidRDefault="00C14DBF" w:rsidP="00C14DBF">
      <w:pPr>
        <w:ind w:left="10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 час   проведення  періодичного   відстеження    результативності</w:t>
      </w:r>
    </w:p>
    <w:p w:rsidR="00C14DBF" w:rsidRDefault="00C14DBF" w:rsidP="00C14D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регуляторного акта був застосований статистичний метод одержання результатів відстеження.</w:t>
      </w:r>
    </w:p>
    <w:p w:rsidR="00C14DBF" w:rsidRDefault="00C14DBF" w:rsidP="00C14DB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7.   Дані    та    припущення,      на     основі       яких      відстежувалася          результативність, а також способи одержання даних</w:t>
      </w:r>
    </w:p>
    <w:p w:rsidR="00C14DBF" w:rsidRPr="00C51FCD" w:rsidRDefault="00C14DBF" w:rsidP="00C14D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 здійсненні аналізу була використана статистична звітність, дані результатів діяльності за 2009, 2010, 2011 роки майстерних дільниць «</w:t>
      </w:r>
      <w:proofErr w:type="spellStart"/>
      <w:r>
        <w:rPr>
          <w:sz w:val="28"/>
          <w:szCs w:val="28"/>
          <w:lang w:val="uk-UA"/>
        </w:rPr>
        <w:t>Немигівкаторф</w:t>
      </w:r>
      <w:proofErr w:type="spellEnd"/>
      <w:r>
        <w:rPr>
          <w:sz w:val="28"/>
          <w:szCs w:val="28"/>
          <w:lang w:val="uk-UA"/>
        </w:rPr>
        <w:t>», «</w:t>
      </w:r>
      <w:proofErr w:type="spellStart"/>
      <w:r>
        <w:rPr>
          <w:sz w:val="28"/>
          <w:szCs w:val="28"/>
          <w:lang w:val="uk-UA"/>
        </w:rPr>
        <w:t>Городняторф</w:t>
      </w:r>
      <w:proofErr w:type="spellEnd"/>
      <w:r>
        <w:rPr>
          <w:sz w:val="28"/>
          <w:szCs w:val="28"/>
          <w:lang w:val="uk-UA"/>
        </w:rPr>
        <w:t>».</w:t>
      </w:r>
      <w:r w:rsidRPr="00C51FC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Здійснення аналізу ефективності встановленого нормативу рентабельності на торф паливний кусковий виробництва виробничої дільниці «</w:t>
      </w:r>
      <w:proofErr w:type="spellStart"/>
      <w:r>
        <w:rPr>
          <w:sz w:val="28"/>
          <w:szCs w:val="28"/>
          <w:lang w:val="uk-UA"/>
        </w:rPr>
        <w:t>Ракита</w:t>
      </w:r>
      <w:proofErr w:type="spellEnd"/>
      <w:r>
        <w:rPr>
          <w:sz w:val="28"/>
          <w:szCs w:val="28"/>
          <w:lang w:val="uk-UA"/>
        </w:rPr>
        <w:t>» унеможливлено через відсутність відведення на землю.</w:t>
      </w:r>
    </w:p>
    <w:p w:rsidR="00C14DBF" w:rsidRDefault="00C14DBF" w:rsidP="00C14DB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8.   Кількісні та якісні значення показників результативності акта</w:t>
      </w:r>
    </w:p>
    <w:p w:rsidR="00C14DBF" w:rsidRPr="005419EA" w:rsidRDefault="00C14DBF" w:rsidP="00C14DBF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Регуляторним актом встановлено норматив рентабельності на торф паливний кусковий, що відпускається населенню для побутових потреб </w:t>
      </w:r>
      <w:r>
        <w:rPr>
          <w:sz w:val="28"/>
          <w:lang w:val="uk-UA"/>
        </w:rPr>
        <w:lastRenderedPageBreak/>
        <w:t>виробничими  і майстерними дільницями державного підприємства «</w:t>
      </w:r>
      <w:proofErr w:type="spellStart"/>
      <w:r>
        <w:rPr>
          <w:sz w:val="28"/>
          <w:lang w:val="uk-UA"/>
        </w:rPr>
        <w:t>Чернігівторф</w:t>
      </w:r>
      <w:proofErr w:type="spellEnd"/>
      <w:r>
        <w:rPr>
          <w:sz w:val="28"/>
          <w:lang w:val="uk-UA"/>
        </w:rPr>
        <w:t>» (</w:t>
      </w:r>
      <w:r w:rsidRPr="005419EA">
        <w:rPr>
          <w:sz w:val="28"/>
          <w:lang w:val="uk-UA"/>
        </w:rPr>
        <w:t xml:space="preserve">МД </w:t>
      </w:r>
      <w:r>
        <w:rPr>
          <w:sz w:val="28"/>
          <w:szCs w:val="28"/>
          <w:lang w:val="uk-UA"/>
        </w:rPr>
        <w:t>«</w:t>
      </w:r>
      <w:proofErr w:type="spellStart"/>
      <w:r w:rsidRPr="005419EA">
        <w:rPr>
          <w:sz w:val="28"/>
          <w:szCs w:val="28"/>
          <w:lang w:val="uk-UA"/>
        </w:rPr>
        <w:t>Немигівкаторф</w:t>
      </w:r>
      <w:proofErr w:type="spellEnd"/>
      <w:r>
        <w:rPr>
          <w:sz w:val="28"/>
          <w:szCs w:val="28"/>
          <w:lang w:val="uk-UA"/>
        </w:rPr>
        <w:t>»</w:t>
      </w:r>
      <w:r w:rsidRPr="005419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МД «</w:t>
      </w:r>
      <w:proofErr w:type="spellStart"/>
      <w:r>
        <w:rPr>
          <w:sz w:val="28"/>
          <w:szCs w:val="28"/>
          <w:lang w:val="uk-UA"/>
        </w:rPr>
        <w:t>Городняторф</w:t>
      </w:r>
      <w:proofErr w:type="spellEnd"/>
      <w:r>
        <w:rPr>
          <w:sz w:val="28"/>
          <w:szCs w:val="28"/>
          <w:lang w:val="uk-UA"/>
        </w:rPr>
        <w:t xml:space="preserve">») </w:t>
      </w:r>
      <w:r w:rsidRPr="005419EA">
        <w:rPr>
          <w:sz w:val="28"/>
          <w:lang w:val="uk-UA"/>
        </w:rPr>
        <w:t>– 7%.</w:t>
      </w:r>
    </w:p>
    <w:p w:rsidR="00C14DBF" w:rsidRDefault="00C14DBF" w:rsidP="00C14DBF">
      <w:pPr>
        <w:ind w:firstLine="708"/>
        <w:jc w:val="both"/>
        <w:rPr>
          <w:sz w:val="28"/>
          <w:lang w:val="uk-UA"/>
        </w:rPr>
      </w:pPr>
      <w:r w:rsidRPr="005419EA">
        <w:rPr>
          <w:sz w:val="28"/>
          <w:lang w:val="uk-UA"/>
        </w:rPr>
        <w:t xml:space="preserve">Обсяги реалізації торфу паливного </w:t>
      </w:r>
      <w:r>
        <w:rPr>
          <w:sz w:val="28"/>
          <w:lang w:val="uk-UA"/>
        </w:rPr>
        <w:t>по МД «</w:t>
      </w:r>
      <w:proofErr w:type="spellStart"/>
      <w:r>
        <w:rPr>
          <w:sz w:val="28"/>
          <w:lang w:val="uk-UA"/>
        </w:rPr>
        <w:t>Немигівкаторф</w:t>
      </w:r>
      <w:proofErr w:type="spellEnd"/>
      <w:r>
        <w:rPr>
          <w:sz w:val="28"/>
          <w:lang w:val="uk-UA"/>
        </w:rPr>
        <w:t xml:space="preserve">» </w:t>
      </w:r>
      <w:r w:rsidRPr="005419EA">
        <w:rPr>
          <w:sz w:val="28"/>
          <w:lang w:val="uk-UA"/>
        </w:rPr>
        <w:t>знизились, фактична собівартість виробництва – зросла, що певною мірою призвело до зменшення отриманих доходів (виручки) від реалізації продукції майстерною дільницею у 20</w:t>
      </w:r>
      <w:r>
        <w:rPr>
          <w:sz w:val="28"/>
          <w:lang w:val="uk-UA"/>
        </w:rPr>
        <w:t>10</w:t>
      </w:r>
      <w:r w:rsidRPr="005419EA">
        <w:rPr>
          <w:sz w:val="28"/>
          <w:lang w:val="uk-UA"/>
        </w:rPr>
        <w:t xml:space="preserve"> р. в порівнянні з 200</w:t>
      </w:r>
      <w:r>
        <w:rPr>
          <w:sz w:val="28"/>
          <w:lang w:val="uk-UA"/>
        </w:rPr>
        <w:t>9</w:t>
      </w:r>
      <w:r w:rsidRPr="005419EA">
        <w:rPr>
          <w:sz w:val="28"/>
          <w:lang w:val="uk-UA"/>
        </w:rPr>
        <w:t xml:space="preserve"> р. Надходження до державного та місцевого бюджетів з</w:t>
      </w:r>
      <w:r>
        <w:rPr>
          <w:sz w:val="28"/>
          <w:lang w:val="uk-UA"/>
        </w:rPr>
        <w:t>меншились</w:t>
      </w:r>
      <w:r w:rsidRPr="005419EA">
        <w:rPr>
          <w:sz w:val="28"/>
          <w:lang w:val="uk-UA"/>
        </w:rPr>
        <w:t xml:space="preserve"> у 20</w:t>
      </w:r>
      <w:r>
        <w:rPr>
          <w:sz w:val="28"/>
          <w:lang w:val="uk-UA"/>
        </w:rPr>
        <w:t xml:space="preserve">10 році та збільшились у </w:t>
      </w:r>
      <w:r w:rsidRPr="005419EA">
        <w:rPr>
          <w:sz w:val="28"/>
          <w:lang w:val="uk-UA"/>
        </w:rPr>
        <w:t>20</w:t>
      </w:r>
      <w:r>
        <w:rPr>
          <w:sz w:val="28"/>
          <w:lang w:val="uk-UA"/>
        </w:rPr>
        <w:t>11 році</w:t>
      </w:r>
      <w:r w:rsidRPr="005419EA">
        <w:rPr>
          <w:sz w:val="28"/>
          <w:lang w:val="uk-UA"/>
        </w:rPr>
        <w:t>.</w:t>
      </w:r>
      <w:r>
        <w:rPr>
          <w:sz w:val="28"/>
          <w:lang w:val="uk-UA"/>
        </w:rPr>
        <w:t xml:space="preserve">   </w:t>
      </w:r>
    </w:p>
    <w:p w:rsidR="00C14DBF" w:rsidRPr="00EF31B6" w:rsidRDefault="00C14DBF" w:rsidP="00C14DBF">
      <w:pPr>
        <w:ind w:firstLine="708"/>
        <w:jc w:val="both"/>
        <w:rPr>
          <w:sz w:val="28"/>
          <w:lang w:val="uk-UA"/>
        </w:rPr>
      </w:pPr>
      <w:r w:rsidRPr="00EF31B6">
        <w:rPr>
          <w:sz w:val="28"/>
          <w:lang w:val="uk-UA"/>
        </w:rPr>
        <w:t xml:space="preserve">Обсяги реалізації торфу паливного </w:t>
      </w:r>
      <w:r>
        <w:rPr>
          <w:sz w:val="28"/>
          <w:lang w:val="uk-UA"/>
        </w:rPr>
        <w:t>по МД «</w:t>
      </w:r>
      <w:proofErr w:type="spellStart"/>
      <w:r>
        <w:rPr>
          <w:sz w:val="28"/>
          <w:lang w:val="uk-UA"/>
        </w:rPr>
        <w:t>Городняторф</w:t>
      </w:r>
      <w:proofErr w:type="spellEnd"/>
      <w:r>
        <w:rPr>
          <w:sz w:val="28"/>
          <w:lang w:val="uk-UA"/>
        </w:rPr>
        <w:t>» збільшились, фактична собівартість виробництва – зменшилась, що певною мірою призвело до збільшення отриманих доходів (виручки) від реалізації продукції майстерною дільницею у 2010 р. в порівнянні з 2009 р. Надходження до державного бюджету збільшились у 2010 р. в порівнянні з 2009 р.</w:t>
      </w:r>
    </w:p>
    <w:p w:rsidR="00C14DBF" w:rsidRPr="00EF31B6" w:rsidRDefault="00C14DBF" w:rsidP="00C14DBF">
      <w:pPr>
        <w:ind w:firstLine="708"/>
        <w:jc w:val="both"/>
        <w:rPr>
          <w:sz w:val="28"/>
          <w:lang w:val="uk-UA"/>
        </w:rPr>
      </w:pPr>
      <w:r w:rsidRPr="00EF31B6">
        <w:rPr>
          <w:sz w:val="28"/>
          <w:lang w:val="uk-UA"/>
        </w:rPr>
        <w:br/>
      </w:r>
      <w:r>
        <w:rPr>
          <w:sz w:val="28"/>
          <w:lang w:val="uk-UA"/>
        </w:rPr>
        <w:t xml:space="preserve">                                                МД «</w:t>
      </w:r>
      <w:proofErr w:type="spellStart"/>
      <w:r>
        <w:rPr>
          <w:sz w:val="28"/>
          <w:lang w:val="uk-UA"/>
        </w:rPr>
        <w:t>Немигівкаторф</w:t>
      </w:r>
      <w:proofErr w:type="spellEnd"/>
      <w:r>
        <w:rPr>
          <w:sz w:val="28"/>
          <w:lang w:val="uk-UA"/>
        </w:rPr>
        <w:t>»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239"/>
        <w:gridCol w:w="2060"/>
        <w:gridCol w:w="1915"/>
        <w:gridCol w:w="1528"/>
        <w:gridCol w:w="1829"/>
      </w:tblGrid>
      <w:tr w:rsidR="00C14DBF" w:rsidTr="00CA6F43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</w:rPr>
              <w:t>Показники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</w:rPr>
              <w:t>Одиниця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виміру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</w:rPr>
              <w:t>200</w:t>
            </w:r>
            <w:r>
              <w:rPr>
                <w:sz w:val="28"/>
                <w:lang w:val="uk-UA"/>
              </w:rPr>
              <w:t>9</w:t>
            </w:r>
            <w:r>
              <w:rPr>
                <w:sz w:val="28"/>
              </w:rPr>
              <w:t xml:space="preserve"> р.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Pr="00EF31B6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2010 р.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lang w:val="uk-UA"/>
              </w:rPr>
              <w:t>11</w:t>
            </w:r>
            <w:r>
              <w:rPr>
                <w:sz w:val="28"/>
              </w:rPr>
              <w:t xml:space="preserve"> р.</w:t>
            </w:r>
          </w:p>
        </w:tc>
      </w:tr>
      <w:tr w:rsidR="00C14DBF" w:rsidTr="00CA6F43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both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</w:rPr>
              <w:t>Планова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рентабельність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</w:p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</w:p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5,4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</w:p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2,5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</w:t>
            </w:r>
          </w:p>
          <w:p w:rsidR="00C14DBF" w:rsidRPr="00941E6E" w:rsidRDefault="00C14DBF" w:rsidP="00CA6F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6,5</w:t>
            </w:r>
          </w:p>
        </w:tc>
      </w:tr>
      <w:tr w:rsidR="00C14DBF" w:rsidTr="00CA6F43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both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</w:rPr>
              <w:t>Обсяги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реалізації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</w:rPr>
              <w:t>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Pr="00941E6E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Pr="00941E6E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320,0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Pr="00941E6E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350,0</w:t>
            </w:r>
          </w:p>
        </w:tc>
      </w:tr>
      <w:tr w:rsidR="00C14DBF" w:rsidTr="00CA6F43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both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</w:rPr>
              <w:t>Фактична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собівартість</w:t>
            </w:r>
            <w:proofErr w:type="spellEnd"/>
            <w:r>
              <w:rPr>
                <w:sz w:val="28"/>
              </w:rPr>
              <w:t xml:space="preserve"> 1 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</w:p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</w:rPr>
              <w:t>грн.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</w:p>
          <w:p w:rsidR="00C14DBF" w:rsidRPr="00941E6E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134,19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</w:p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181,26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</w:p>
          <w:p w:rsidR="00C14DBF" w:rsidRPr="00941E6E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265,29</w:t>
            </w:r>
          </w:p>
        </w:tc>
      </w:tr>
      <w:tr w:rsidR="00C14DBF" w:rsidTr="00CA6F43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both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</w:rPr>
              <w:t>Чистий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дохід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виручка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</w:p>
          <w:p w:rsidR="00C14DBF" w:rsidRPr="00C179B9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</w:rPr>
              <w:t>тис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рн.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</w:p>
          <w:p w:rsidR="00C14DBF" w:rsidRPr="00941E6E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57,2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</w:p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54,0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</w:p>
          <w:p w:rsidR="00C14DBF" w:rsidRPr="00941E6E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71,0</w:t>
            </w:r>
          </w:p>
        </w:tc>
      </w:tr>
      <w:tr w:rsidR="00C14DBF" w:rsidTr="00CA6F43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both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</w:rPr>
              <w:t>Надходження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бюджетів</w:t>
            </w:r>
            <w:proofErr w:type="spellEnd"/>
          </w:p>
          <w:p w:rsidR="00C14DBF" w:rsidRDefault="00C14DBF" w:rsidP="00CA6F43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т.ч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</w:p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</w:rPr>
              <w:t>-’’-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</w:p>
          <w:p w:rsidR="00C14DBF" w:rsidRPr="00941E6E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8,47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</w:p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4,62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</w:p>
          <w:p w:rsidR="00C14DBF" w:rsidRPr="00941E6E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12,58</w:t>
            </w:r>
          </w:p>
        </w:tc>
      </w:tr>
      <w:tr w:rsidR="00C14DBF" w:rsidTr="00CA6F43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</w:rPr>
              <w:t xml:space="preserve">державного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</w:rPr>
              <w:t>-’’-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Pr="00941E6E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</w:rPr>
              <w:t>0,0</w:t>
            </w:r>
            <w:r>
              <w:rPr>
                <w:sz w:val="28"/>
                <w:lang w:val="uk-UA"/>
              </w:rPr>
              <w:t>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Pr="00941E6E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0,05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Pr="00941E6E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</w:rPr>
              <w:t>0,0</w:t>
            </w:r>
            <w:r>
              <w:rPr>
                <w:sz w:val="28"/>
                <w:lang w:val="uk-UA"/>
              </w:rPr>
              <w:t>5</w:t>
            </w:r>
          </w:p>
        </w:tc>
      </w:tr>
      <w:tr w:rsidR="00C14DBF" w:rsidTr="00CA6F43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both"/>
              <w:rPr>
                <w:sz w:val="28"/>
                <w:lang w:val="uk-UA"/>
              </w:rPr>
            </w:pPr>
            <w:proofErr w:type="spellStart"/>
            <w:proofErr w:type="gramStart"/>
            <w:r>
              <w:rPr>
                <w:sz w:val="28"/>
              </w:rPr>
              <w:t>м</w:t>
            </w:r>
            <w:proofErr w:type="gramEnd"/>
            <w:r>
              <w:rPr>
                <w:sz w:val="28"/>
              </w:rPr>
              <w:t>ісцевого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</w:rPr>
              <w:t>-’’-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Pr="00941E6E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8,41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Pr="00D41663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4,57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Pr="00941E6E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12,53</w:t>
            </w:r>
          </w:p>
        </w:tc>
      </w:tr>
    </w:tbl>
    <w:p w:rsidR="00C14DBF" w:rsidRDefault="00C14DBF" w:rsidP="00C14DBF">
      <w:pPr>
        <w:jc w:val="both"/>
        <w:rPr>
          <w:b/>
          <w:sz w:val="28"/>
          <w:szCs w:val="28"/>
          <w:lang w:val="uk-UA"/>
        </w:rPr>
      </w:pPr>
    </w:p>
    <w:p w:rsidR="00C14DBF" w:rsidRPr="00EF31B6" w:rsidRDefault="00C14DBF" w:rsidP="00C14DBF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МД «</w:t>
      </w:r>
      <w:proofErr w:type="spellStart"/>
      <w:r>
        <w:rPr>
          <w:sz w:val="28"/>
          <w:lang w:val="uk-UA"/>
        </w:rPr>
        <w:t>Городняторф</w:t>
      </w:r>
      <w:proofErr w:type="spellEnd"/>
      <w:r>
        <w:rPr>
          <w:sz w:val="28"/>
          <w:lang w:val="uk-UA"/>
        </w:rPr>
        <w:t>»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254"/>
        <w:gridCol w:w="1992"/>
        <w:gridCol w:w="1832"/>
        <w:gridCol w:w="1610"/>
        <w:gridCol w:w="1883"/>
      </w:tblGrid>
      <w:tr w:rsidR="00C14DBF" w:rsidTr="00CA6F43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</w:rPr>
              <w:t>Показники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</w:rPr>
              <w:t>Одиниця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виміру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</w:rPr>
              <w:t>200</w:t>
            </w:r>
            <w:r>
              <w:rPr>
                <w:sz w:val="28"/>
                <w:lang w:val="uk-UA"/>
              </w:rPr>
              <w:t>9</w:t>
            </w:r>
            <w:r>
              <w:rPr>
                <w:sz w:val="28"/>
              </w:rPr>
              <w:t xml:space="preserve"> р.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Pr="00D41663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2010 р.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lang w:val="uk-UA"/>
              </w:rPr>
              <w:t>11</w:t>
            </w:r>
            <w:r>
              <w:rPr>
                <w:sz w:val="28"/>
              </w:rPr>
              <w:t xml:space="preserve"> р.</w:t>
            </w:r>
          </w:p>
        </w:tc>
      </w:tr>
      <w:tr w:rsidR="00C14DBF" w:rsidTr="00CA6F43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both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</w:rPr>
              <w:t>Планова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рентабельність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</w:p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6,6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6,6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Pr="00D41663" w:rsidRDefault="00C14DBF" w:rsidP="00CA6F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6,6</w:t>
            </w:r>
          </w:p>
        </w:tc>
      </w:tr>
      <w:tr w:rsidR="00C14DBF" w:rsidTr="00CA6F43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both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</w:rPr>
              <w:t>Обсяги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реалізації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</w:rPr>
              <w:t>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Pr="00D41663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Pr="00D41663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300,0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Pr="00D41663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</w:tr>
      <w:tr w:rsidR="00C14DBF" w:rsidTr="00CA6F43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both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</w:rPr>
              <w:t>Фактична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собівартість</w:t>
            </w:r>
            <w:proofErr w:type="spellEnd"/>
            <w:r>
              <w:rPr>
                <w:sz w:val="28"/>
              </w:rPr>
              <w:t xml:space="preserve"> 1 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</w:p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</w:rPr>
              <w:t>грн.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</w:p>
          <w:p w:rsidR="00C14DBF" w:rsidRPr="00D41663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352,81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</w:p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282,03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</w:p>
          <w:p w:rsidR="00C14DBF" w:rsidRPr="00D41663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</w:tr>
      <w:tr w:rsidR="00C14DBF" w:rsidTr="00CA6F43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both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</w:rPr>
              <w:t>Чистий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дохід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виручка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</w:p>
          <w:p w:rsidR="00C14DBF" w:rsidRPr="00C179B9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</w:rPr>
              <w:t>тис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рн.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</w:p>
          <w:p w:rsidR="00C14DBF" w:rsidRPr="00D41663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26,2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</w:p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33,6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</w:p>
          <w:p w:rsidR="00C14DBF" w:rsidRPr="00D41663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</w:tr>
      <w:tr w:rsidR="00C14DBF" w:rsidTr="00CA6F43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both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</w:rPr>
              <w:t>Надходження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бюджетів</w:t>
            </w:r>
            <w:proofErr w:type="spellEnd"/>
          </w:p>
          <w:p w:rsidR="00C14DBF" w:rsidRDefault="00C14DBF" w:rsidP="00CA6F43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т.ч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</w:p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</w:rPr>
              <w:t>-’’-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</w:p>
          <w:p w:rsidR="00C14DBF" w:rsidRPr="00D41663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5,6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</w:p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3,4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</w:p>
          <w:p w:rsidR="00C14DBF" w:rsidRPr="00D41663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2,4</w:t>
            </w:r>
          </w:p>
        </w:tc>
      </w:tr>
      <w:tr w:rsidR="00C14DBF" w:rsidTr="00CA6F43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</w:rPr>
              <w:lastRenderedPageBreak/>
              <w:t xml:space="preserve">державного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</w:rPr>
              <w:t>-’’-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Pr="00D41663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0,02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Pr="00D41663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0,05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Pr="00D41663" w:rsidRDefault="00C14DBF" w:rsidP="00CA6F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-</w:t>
            </w:r>
          </w:p>
        </w:tc>
      </w:tr>
      <w:tr w:rsidR="00C14DBF" w:rsidTr="00CA6F43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both"/>
              <w:rPr>
                <w:sz w:val="28"/>
                <w:lang w:val="uk-UA"/>
              </w:rPr>
            </w:pPr>
            <w:proofErr w:type="spellStart"/>
            <w:proofErr w:type="gramStart"/>
            <w:r>
              <w:rPr>
                <w:sz w:val="28"/>
              </w:rPr>
              <w:t>м</w:t>
            </w:r>
            <w:proofErr w:type="gramEnd"/>
            <w:r>
              <w:rPr>
                <w:sz w:val="28"/>
              </w:rPr>
              <w:t>ісцевого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</w:rPr>
              <w:t>-’’-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Pr="00D41663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5,58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Pr="00D41663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3,35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F" w:rsidRPr="00D41663" w:rsidRDefault="00C14DBF" w:rsidP="00CA6F4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2,4</w:t>
            </w:r>
          </w:p>
        </w:tc>
      </w:tr>
    </w:tbl>
    <w:p w:rsidR="00C14DBF" w:rsidRDefault="00C14DBF" w:rsidP="00C14DBF">
      <w:pPr>
        <w:jc w:val="both"/>
        <w:rPr>
          <w:b/>
          <w:sz w:val="28"/>
          <w:szCs w:val="28"/>
          <w:lang w:val="uk-UA"/>
        </w:rPr>
      </w:pPr>
    </w:p>
    <w:p w:rsidR="00C14DBF" w:rsidRDefault="00C14DBF" w:rsidP="00C14DBF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9. Оцінка   результатів   реалізації   регуляторного   акта   та  ступеня досягнення визначених цілей</w:t>
      </w:r>
    </w:p>
    <w:p w:rsidR="00C14DBF" w:rsidRDefault="00C14DBF" w:rsidP="00C14DBF">
      <w:pPr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Дія даного регуляторного акта сприяє стабільності і безперебійності забезпечення населення області таким соціально-важливим видом палива, як торф паливний кусковий; недопущенню інтеграції </w:t>
      </w:r>
      <w:proofErr w:type="spellStart"/>
      <w:r>
        <w:rPr>
          <w:sz w:val="28"/>
          <w:szCs w:val="28"/>
          <w:lang w:val="uk-UA"/>
        </w:rPr>
        <w:t>торфопродукції</w:t>
      </w:r>
      <w:proofErr w:type="spellEnd"/>
      <w:r>
        <w:rPr>
          <w:sz w:val="28"/>
          <w:szCs w:val="28"/>
          <w:lang w:val="uk-UA"/>
        </w:rPr>
        <w:t xml:space="preserve"> з-за межі області з негативними наслідками для ДП «</w:t>
      </w:r>
      <w:proofErr w:type="spellStart"/>
      <w:r>
        <w:rPr>
          <w:sz w:val="28"/>
          <w:szCs w:val="28"/>
          <w:lang w:val="uk-UA"/>
        </w:rPr>
        <w:t>Чернігівторф</w:t>
      </w:r>
      <w:proofErr w:type="spellEnd"/>
      <w:r>
        <w:rPr>
          <w:sz w:val="28"/>
          <w:szCs w:val="28"/>
          <w:lang w:val="uk-UA"/>
        </w:rPr>
        <w:t>», в умовах коливань цін на енергоносії та інших витрат при низькій платоспроможності населення для забезпечення його попиту на торф’яне паливо.</w:t>
      </w:r>
    </w:p>
    <w:p w:rsidR="00C14DBF" w:rsidRDefault="00C14DBF" w:rsidP="00C14DBF">
      <w:pPr>
        <w:rPr>
          <w:sz w:val="28"/>
          <w:szCs w:val="28"/>
          <w:lang w:val="uk-UA"/>
        </w:rPr>
      </w:pPr>
    </w:p>
    <w:p w:rsidR="00C14DBF" w:rsidRDefault="00C14DBF" w:rsidP="00C14DBF">
      <w:pPr>
        <w:rPr>
          <w:sz w:val="28"/>
          <w:szCs w:val="28"/>
          <w:lang w:val="uk-UA"/>
        </w:rPr>
      </w:pPr>
    </w:p>
    <w:p w:rsidR="00C14DBF" w:rsidRDefault="00C14DBF" w:rsidP="00C14DBF">
      <w:pPr>
        <w:rPr>
          <w:sz w:val="28"/>
          <w:szCs w:val="28"/>
          <w:lang w:val="uk-UA"/>
        </w:rPr>
      </w:pPr>
    </w:p>
    <w:p w:rsidR="00C14DBF" w:rsidRDefault="00C14DBF" w:rsidP="00C14DBF">
      <w:pPr>
        <w:rPr>
          <w:sz w:val="28"/>
          <w:szCs w:val="28"/>
          <w:lang w:val="uk-UA"/>
        </w:rPr>
      </w:pPr>
    </w:p>
    <w:p w:rsidR="00C14DBF" w:rsidRDefault="00C14DBF" w:rsidP="00C14DB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proofErr w:type="spellStart"/>
      <w:r>
        <w:rPr>
          <w:b/>
          <w:sz w:val="28"/>
          <w:szCs w:val="28"/>
        </w:rPr>
        <w:t>аступник</w:t>
      </w:r>
      <w:proofErr w:type="spellEnd"/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голови</w:t>
      </w:r>
      <w:proofErr w:type="spellEnd"/>
      <w:r>
        <w:rPr>
          <w:b/>
          <w:sz w:val="28"/>
          <w:szCs w:val="28"/>
        </w:rPr>
        <w:t xml:space="preserve"> </w:t>
      </w:r>
    </w:p>
    <w:p w:rsidR="00C14DBF" w:rsidRDefault="00C14DBF" w:rsidP="00C14DB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облдержадміністрації                                                                         Н.В.Білоус</w:t>
      </w:r>
    </w:p>
    <w:p w:rsidR="00C14DBF" w:rsidRDefault="00C14DBF" w:rsidP="00C14DBF">
      <w:pPr>
        <w:rPr>
          <w:sz w:val="18"/>
          <w:szCs w:val="18"/>
          <w:lang w:val="uk-UA"/>
        </w:rPr>
      </w:pPr>
    </w:p>
    <w:p w:rsidR="00C14DBF" w:rsidRDefault="00C14DBF" w:rsidP="00C14DBF">
      <w:pPr>
        <w:rPr>
          <w:sz w:val="18"/>
          <w:szCs w:val="18"/>
          <w:lang w:val="uk-UA"/>
        </w:rPr>
      </w:pPr>
    </w:p>
    <w:p w:rsidR="00C14DBF" w:rsidRDefault="00C14DBF" w:rsidP="00C14DBF">
      <w:pPr>
        <w:rPr>
          <w:sz w:val="18"/>
          <w:szCs w:val="18"/>
          <w:lang w:val="uk-UA"/>
        </w:rPr>
      </w:pPr>
    </w:p>
    <w:p w:rsidR="00C14DBF" w:rsidRDefault="00C14DBF" w:rsidP="00C14DBF">
      <w:pPr>
        <w:rPr>
          <w:sz w:val="18"/>
          <w:szCs w:val="18"/>
          <w:lang w:val="uk-UA"/>
        </w:rPr>
      </w:pPr>
    </w:p>
    <w:p w:rsidR="00C14DBF" w:rsidRDefault="00C14DBF" w:rsidP="00C14DBF">
      <w:pPr>
        <w:rPr>
          <w:sz w:val="18"/>
          <w:szCs w:val="18"/>
          <w:lang w:val="uk-UA"/>
        </w:rPr>
      </w:pPr>
    </w:p>
    <w:p w:rsidR="00C14DBF" w:rsidRDefault="00C14DBF" w:rsidP="00C14DBF">
      <w:pPr>
        <w:rPr>
          <w:sz w:val="18"/>
          <w:szCs w:val="18"/>
          <w:lang w:val="uk-UA"/>
        </w:rPr>
      </w:pPr>
    </w:p>
    <w:p w:rsidR="00C14DBF" w:rsidRDefault="00C14DBF" w:rsidP="00C14DBF">
      <w:pPr>
        <w:rPr>
          <w:sz w:val="18"/>
          <w:szCs w:val="18"/>
          <w:lang w:val="uk-UA"/>
        </w:rPr>
      </w:pPr>
    </w:p>
    <w:p w:rsidR="00C14DBF" w:rsidRDefault="00C14DBF" w:rsidP="00C14DBF">
      <w:pPr>
        <w:rPr>
          <w:sz w:val="18"/>
          <w:szCs w:val="18"/>
          <w:lang w:val="uk-UA"/>
        </w:rPr>
      </w:pPr>
    </w:p>
    <w:p w:rsidR="00C14DBF" w:rsidRDefault="00C14DBF" w:rsidP="00C14DBF">
      <w:pPr>
        <w:rPr>
          <w:sz w:val="18"/>
          <w:szCs w:val="18"/>
          <w:lang w:val="uk-UA"/>
        </w:rPr>
      </w:pPr>
    </w:p>
    <w:p w:rsidR="00C14DBF" w:rsidRDefault="00C14DBF" w:rsidP="00C14DBF">
      <w:pPr>
        <w:rPr>
          <w:sz w:val="18"/>
          <w:szCs w:val="18"/>
          <w:lang w:val="uk-UA"/>
        </w:rPr>
      </w:pPr>
    </w:p>
    <w:p w:rsidR="00C14DBF" w:rsidRDefault="00C14DBF" w:rsidP="00C14DBF">
      <w:pPr>
        <w:rPr>
          <w:sz w:val="18"/>
          <w:szCs w:val="18"/>
          <w:lang w:val="uk-UA"/>
        </w:rPr>
      </w:pPr>
    </w:p>
    <w:p w:rsidR="00C14DBF" w:rsidRDefault="00C14DBF" w:rsidP="00C14DBF">
      <w:pPr>
        <w:rPr>
          <w:sz w:val="18"/>
          <w:szCs w:val="18"/>
          <w:lang w:val="uk-UA"/>
        </w:rPr>
      </w:pPr>
    </w:p>
    <w:p w:rsidR="00C14DBF" w:rsidRDefault="00C14DBF" w:rsidP="00C14DBF">
      <w:pPr>
        <w:rPr>
          <w:sz w:val="18"/>
          <w:szCs w:val="18"/>
          <w:lang w:val="uk-UA"/>
        </w:rPr>
      </w:pPr>
    </w:p>
    <w:p w:rsidR="00C14DBF" w:rsidRDefault="00C14DBF" w:rsidP="00C14DBF">
      <w:pPr>
        <w:rPr>
          <w:sz w:val="18"/>
          <w:szCs w:val="18"/>
          <w:lang w:val="uk-UA"/>
        </w:rPr>
      </w:pPr>
    </w:p>
    <w:p w:rsidR="00C14DBF" w:rsidRDefault="00C14DBF" w:rsidP="00C14DBF">
      <w:pPr>
        <w:rPr>
          <w:sz w:val="18"/>
          <w:szCs w:val="18"/>
          <w:lang w:val="uk-UA"/>
        </w:rPr>
      </w:pPr>
    </w:p>
    <w:p w:rsidR="00C14DBF" w:rsidRDefault="00C14DBF" w:rsidP="00C14DBF">
      <w:pPr>
        <w:rPr>
          <w:sz w:val="18"/>
          <w:szCs w:val="18"/>
          <w:lang w:val="uk-UA"/>
        </w:rPr>
      </w:pPr>
    </w:p>
    <w:p w:rsidR="00C14DBF" w:rsidRDefault="00C14DBF" w:rsidP="00C14DBF">
      <w:pPr>
        <w:rPr>
          <w:sz w:val="18"/>
          <w:szCs w:val="18"/>
          <w:lang w:val="uk-UA"/>
        </w:rPr>
      </w:pPr>
    </w:p>
    <w:p w:rsidR="00C14DBF" w:rsidRDefault="00C14DBF" w:rsidP="00C14DBF">
      <w:pPr>
        <w:rPr>
          <w:sz w:val="18"/>
          <w:szCs w:val="18"/>
          <w:lang w:val="uk-UA"/>
        </w:rPr>
      </w:pPr>
    </w:p>
    <w:p w:rsidR="00C14DBF" w:rsidRDefault="00C14DBF" w:rsidP="00C14DBF">
      <w:pPr>
        <w:rPr>
          <w:sz w:val="18"/>
          <w:szCs w:val="18"/>
          <w:lang w:val="uk-UA"/>
        </w:rPr>
      </w:pPr>
    </w:p>
    <w:p w:rsidR="00C14DBF" w:rsidRDefault="00C14DBF" w:rsidP="00C14DBF">
      <w:pPr>
        <w:rPr>
          <w:sz w:val="18"/>
          <w:szCs w:val="18"/>
          <w:lang w:val="uk-UA"/>
        </w:rPr>
      </w:pPr>
    </w:p>
    <w:p w:rsidR="00C14DBF" w:rsidRDefault="00C14DBF" w:rsidP="00C14DBF">
      <w:pPr>
        <w:rPr>
          <w:sz w:val="18"/>
          <w:szCs w:val="18"/>
          <w:lang w:val="uk-UA"/>
        </w:rPr>
      </w:pPr>
    </w:p>
    <w:p w:rsidR="00C14DBF" w:rsidRDefault="00C14DBF" w:rsidP="00C14DBF">
      <w:pPr>
        <w:rPr>
          <w:sz w:val="18"/>
          <w:szCs w:val="18"/>
          <w:lang w:val="uk-UA"/>
        </w:rPr>
      </w:pPr>
    </w:p>
    <w:p w:rsidR="00C14DBF" w:rsidRDefault="00C14DBF" w:rsidP="00C14DBF">
      <w:pPr>
        <w:rPr>
          <w:sz w:val="18"/>
          <w:szCs w:val="18"/>
          <w:lang w:val="uk-UA"/>
        </w:rPr>
      </w:pPr>
    </w:p>
    <w:p w:rsidR="00C14DBF" w:rsidRDefault="00C14DBF" w:rsidP="00C14DBF">
      <w:pPr>
        <w:rPr>
          <w:sz w:val="18"/>
          <w:szCs w:val="18"/>
          <w:lang w:val="uk-UA"/>
        </w:rPr>
      </w:pPr>
    </w:p>
    <w:p w:rsidR="00C14DBF" w:rsidRDefault="00C14DBF" w:rsidP="00C14DBF">
      <w:pPr>
        <w:rPr>
          <w:sz w:val="18"/>
          <w:szCs w:val="18"/>
          <w:lang w:val="uk-UA"/>
        </w:rPr>
      </w:pPr>
    </w:p>
    <w:p w:rsidR="00C14DBF" w:rsidRDefault="00C14DBF" w:rsidP="00C14DBF">
      <w:pPr>
        <w:rPr>
          <w:sz w:val="18"/>
          <w:szCs w:val="18"/>
          <w:lang w:val="uk-UA"/>
        </w:rPr>
      </w:pPr>
    </w:p>
    <w:p w:rsidR="00C14DBF" w:rsidRDefault="00C14DBF" w:rsidP="00C14DBF">
      <w:pPr>
        <w:rPr>
          <w:sz w:val="18"/>
          <w:szCs w:val="18"/>
          <w:lang w:val="uk-UA"/>
        </w:rPr>
      </w:pPr>
    </w:p>
    <w:p w:rsidR="00C14DBF" w:rsidRDefault="00C14DBF" w:rsidP="00C14DBF">
      <w:pPr>
        <w:rPr>
          <w:sz w:val="18"/>
          <w:szCs w:val="18"/>
          <w:lang w:val="uk-UA"/>
        </w:rPr>
      </w:pPr>
    </w:p>
    <w:p w:rsidR="00C14DBF" w:rsidRDefault="00C14DBF" w:rsidP="00C14DBF">
      <w:pPr>
        <w:rPr>
          <w:sz w:val="18"/>
          <w:szCs w:val="18"/>
          <w:lang w:val="uk-UA"/>
        </w:rPr>
      </w:pPr>
    </w:p>
    <w:p w:rsidR="00C14DBF" w:rsidRDefault="00C14DBF" w:rsidP="00C14DBF">
      <w:pPr>
        <w:rPr>
          <w:sz w:val="18"/>
          <w:szCs w:val="18"/>
          <w:lang w:val="uk-UA"/>
        </w:rPr>
      </w:pPr>
    </w:p>
    <w:p w:rsidR="00C14DBF" w:rsidRDefault="00C14DBF" w:rsidP="00C14DBF">
      <w:pPr>
        <w:rPr>
          <w:sz w:val="18"/>
          <w:szCs w:val="18"/>
          <w:lang w:val="uk-UA"/>
        </w:rPr>
      </w:pPr>
    </w:p>
    <w:p w:rsidR="00C14DBF" w:rsidRDefault="00C14DBF" w:rsidP="00C14DBF">
      <w:pPr>
        <w:rPr>
          <w:sz w:val="18"/>
          <w:szCs w:val="18"/>
          <w:lang w:val="uk-UA"/>
        </w:rPr>
      </w:pPr>
    </w:p>
    <w:p w:rsidR="00C14DBF" w:rsidRDefault="00C14DBF" w:rsidP="00C14DBF">
      <w:pPr>
        <w:rPr>
          <w:sz w:val="18"/>
          <w:szCs w:val="18"/>
          <w:lang w:val="uk-UA"/>
        </w:rPr>
      </w:pPr>
    </w:p>
    <w:p w:rsidR="00C14DBF" w:rsidRDefault="00C14DBF" w:rsidP="00C14DBF">
      <w:pPr>
        <w:rPr>
          <w:sz w:val="18"/>
          <w:szCs w:val="18"/>
          <w:lang w:val="uk-UA"/>
        </w:rPr>
      </w:pPr>
    </w:p>
    <w:p w:rsidR="00C14DBF" w:rsidRDefault="00C14DBF" w:rsidP="00C14DBF">
      <w:pPr>
        <w:rPr>
          <w:sz w:val="18"/>
          <w:szCs w:val="18"/>
          <w:lang w:val="uk-UA"/>
        </w:rPr>
      </w:pPr>
    </w:p>
    <w:p w:rsidR="00C14DBF" w:rsidRDefault="00C14DBF" w:rsidP="00C14DBF">
      <w:pPr>
        <w:rPr>
          <w:sz w:val="18"/>
          <w:szCs w:val="18"/>
          <w:lang w:val="uk-UA"/>
        </w:rPr>
      </w:pPr>
    </w:p>
    <w:p w:rsidR="00C14DBF" w:rsidRDefault="00C14DBF" w:rsidP="00C14DBF">
      <w:pPr>
        <w:rPr>
          <w:sz w:val="18"/>
          <w:szCs w:val="18"/>
          <w:lang w:val="uk-UA"/>
        </w:rPr>
      </w:pPr>
    </w:p>
    <w:p w:rsidR="00C14DBF" w:rsidRDefault="00C14DBF" w:rsidP="00C14DBF">
      <w:pPr>
        <w:rPr>
          <w:sz w:val="18"/>
          <w:szCs w:val="18"/>
          <w:lang w:val="uk-UA"/>
        </w:rPr>
      </w:pPr>
    </w:p>
    <w:p w:rsidR="00C14DBF" w:rsidRDefault="00C14DBF" w:rsidP="00C14DBF">
      <w:pPr>
        <w:rPr>
          <w:sz w:val="18"/>
          <w:szCs w:val="18"/>
          <w:lang w:val="uk-UA"/>
        </w:rPr>
      </w:pPr>
    </w:p>
    <w:p w:rsidR="00C14DBF" w:rsidRDefault="00C14DBF" w:rsidP="00C14DBF">
      <w:pPr>
        <w:rPr>
          <w:sz w:val="18"/>
          <w:szCs w:val="18"/>
          <w:lang w:val="uk-UA"/>
        </w:rPr>
      </w:pPr>
    </w:p>
    <w:p w:rsidR="00C14DBF" w:rsidRPr="00C14DBF" w:rsidRDefault="00C14DBF" w:rsidP="00C14DBF">
      <w:pPr>
        <w:rPr>
          <w:sz w:val="18"/>
          <w:szCs w:val="18"/>
        </w:rPr>
      </w:pPr>
    </w:p>
    <w:p w:rsidR="00C14DBF" w:rsidRPr="005419EA" w:rsidRDefault="00C14DBF" w:rsidP="00C14DBF">
      <w:pPr>
        <w:rPr>
          <w:sz w:val="18"/>
          <w:szCs w:val="18"/>
          <w:lang w:val="uk-UA"/>
        </w:rPr>
      </w:pPr>
      <w:proofErr w:type="spellStart"/>
      <w:r>
        <w:rPr>
          <w:sz w:val="18"/>
          <w:szCs w:val="18"/>
          <w:lang w:val="uk-UA"/>
        </w:rPr>
        <w:t>Самохіна</w:t>
      </w:r>
      <w:proofErr w:type="spellEnd"/>
      <w:r>
        <w:rPr>
          <w:sz w:val="18"/>
          <w:szCs w:val="18"/>
          <w:lang w:val="uk-UA"/>
        </w:rPr>
        <w:t>, 699-855</w:t>
      </w:r>
    </w:p>
    <w:p w:rsidR="00717FC4" w:rsidRDefault="00717FC4">
      <w:bookmarkStart w:id="0" w:name="_GoBack"/>
      <w:bookmarkEnd w:id="0"/>
    </w:p>
    <w:sectPr w:rsidR="00717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0A8A"/>
    <w:multiLevelType w:val="hybridMultilevel"/>
    <w:tmpl w:val="2FE02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187E18"/>
    <w:multiLevelType w:val="hybridMultilevel"/>
    <w:tmpl w:val="E58012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BF"/>
    <w:rsid w:val="00717FC4"/>
    <w:rsid w:val="00C1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4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4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DER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</dc:creator>
  <cp:keywords/>
  <dc:description/>
  <cp:lastModifiedBy>spr</cp:lastModifiedBy>
  <cp:revision>1</cp:revision>
  <dcterms:created xsi:type="dcterms:W3CDTF">2019-04-16T09:36:00Z</dcterms:created>
  <dcterms:modified xsi:type="dcterms:W3CDTF">2019-04-16T09:37:00Z</dcterms:modified>
</cp:coreProperties>
</file>