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14" w:rsidRPr="00A71114" w:rsidRDefault="00A71114" w:rsidP="00A71114">
      <w:pPr>
        <w:shd w:val="clear" w:color="auto" w:fill="FFFFFF"/>
        <w:spacing w:after="0" w:line="315" w:lineRule="atLeast"/>
        <w:ind w:firstLine="709"/>
        <w:jc w:val="center"/>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b/>
          <w:bCs/>
          <w:sz w:val="28"/>
          <w:szCs w:val="28"/>
          <w:lang w:val="uk-UA" w:eastAsia="ru-RU"/>
        </w:rPr>
        <w:t>Звіт</w:t>
      </w:r>
    </w:p>
    <w:p w:rsidR="00A71114" w:rsidRPr="00A71114" w:rsidRDefault="00A71114" w:rsidP="00A71114">
      <w:pPr>
        <w:shd w:val="clear" w:color="auto" w:fill="FFFFFF"/>
        <w:spacing w:after="150" w:line="315" w:lineRule="atLeast"/>
        <w:ind w:firstLine="709"/>
        <w:jc w:val="center"/>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b/>
          <w:bCs/>
          <w:sz w:val="28"/>
          <w:szCs w:val="28"/>
          <w:lang w:val="uk-UA" w:eastAsia="ru-RU"/>
        </w:rPr>
        <w:t>про відстеження результативності регуляторного акта</w:t>
      </w:r>
    </w:p>
    <w:p w:rsidR="00A71114" w:rsidRPr="00A71114" w:rsidRDefault="00A71114" w:rsidP="00A71114">
      <w:pPr>
        <w:shd w:val="clear" w:color="auto" w:fill="FFFFFF"/>
        <w:spacing w:after="150" w:line="315" w:lineRule="atLeast"/>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b/>
          <w:bCs/>
          <w:sz w:val="28"/>
          <w:szCs w:val="28"/>
          <w:lang w:val="uk-UA" w:eastAsia="ru-RU"/>
        </w:rPr>
        <w:t>Вид та назва регуляторного акта</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Розпорядження голови Чернігівської обласної державної адміністрації від 25 липня 2017 року № 344 «Про тарифи на платні послуги з проведення профілактичних медичних оглядів, що надаються Чернігівською міською лікарнею № 1 Чернігівської міської ради».</w:t>
      </w:r>
    </w:p>
    <w:p w:rsidR="00A71114" w:rsidRPr="00A71114" w:rsidRDefault="00A71114" w:rsidP="00A71114">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A71114">
        <w:rPr>
          <w:rFonts w:ascii="Times New Roman" w:eastAsia="Times New Roman" w:hAnsi="Times New Roman" w:cs="Times New Roman"/>
          <w:b/>
          <w:bCs/>
          <w:sz w:val="28"/>
          <w:szCs w:val="28"/>
          <w:lang w:val="uk-UA" w:eastAsia="ru-RU"/>
        </w:rPr>
        <w:t>Назва виконавця заходів з відстеження</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Департамент економічного розвитку Чернігівської обласної державної адміністрації, Управління охорони здоров'я Чернігівської обласної державної адміністрації.</w:t>
      </w:r>
    </w:p>
    <w:p w:rsidR="00A71114" w:rsidRPr="00A71114" w:rsidRDefault="00A71114" w:rsidP="00A71114">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A71114">
        <w:rPr>
          <w:rFonts w:ascii="Times New Roman" w:eastAsia="Times New Roman" w:hAnsi="Times New Roman" w:cs="Times New Roman"/>
          <w:b/>
          <w:bCs/>
          <w:sz w:val="28"/>
          <w:szCs w:val="28"/>
          <w:lang w:val="uk-UA" w:eastAsia="ru-RU"/>
        </w:rPr>
        <w:t>Цілі прийняття акта</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Розпорядження голови Чернігівської обласної державної адміністрації «Про тарифи на платні послуги з проведення профілактичних медичних оглядів, що надаються Чернігівською міською лікарнею № 1 Чернігівської міської ради» підготовлено відповідно до постанов Кабінету Міністрів України від 25 грудня 1996 року № 1548 «Про встановлення повноважень органів виконавчої влади та виконавчих органів міських рад щодо регулювання цін (тарифів)» (зі змінами і доповненнями), від 17 вересня 1996 року № 1138 «Про затвердження переліку платних послуг, які надаються в державних і комунальних закладах охорони здоров’я та вищих медичних навчальних закладах» (зі змінами і доповненнями) та розпорядження голови Чернігівської обласної державної адміністрації від 17 травня 2006 року № 216 «Про ціноутворення», зареєстрованого в Чернігівському обласному управлінні юстиції 30 травня              2006 року за № 14/599 (зі змінами і доповненнями).</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Регульовані тарифи стосуються тих медичних послуг, що надаються державними і комунальними медичними закладами.</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Для недержавного сектору охорони здоров'я в сучасних економічних умовах, що склалися в Україні в цілому та конкретно в Чернігівській області, характерні великі коливання цін на медичні послуги, як в різних медичних закладах, центрах, так і їх розбіжності з офіційними статистичними даними. Різниця в тарифах на однакові медичні послуги становить від 30% до 60%.</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Головна ціль даного регуляторного акта – надання якісних послуг з медичного обстеження за економічно обґрунтованими тарифами фізичним та юридичним особам, а також:</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 використання повноважень обласної державної адміністрації щодо регулювання цін (тарифів);</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 недопущення необґрунтованого зростання вартості медичних послуг та збільшення рівня їх надання;</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lastRenderedPageBreak/>
        <w:t>- залучення альтернативних та дозволених законодавством джерел фінансування лікувального закладу та зменшення збитковості лікарні протягом 2 років.</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Для виживання на ринку послуг при конкуренції з недержавним сектором охорони здоров'я державні лікувально-профілактичні заклади повинні використовувати найновітніші світові досягнення медичної науки і практики для успішного вирішення проблем діагностики, профілактики та лікування виявлених захворювань. Це необхідно для своєчасного проведення підвищення кваліфікації персоналу, поліпшення необхідного рівня матеріально-технічного забезпечення та інших показників, що гарантують надання якісної допомоги населенню</w:t>
      </w:r>
      <w:r w:rsidRPr="00A71114">
        <w:rPr>
          <w:rFonts w:ascii="Times New Roman" w:eastAsia="Times New Roman" w:hAnsi="Times New Roman" w:cs="Times New Roman"/>
          <w:sz w:val="28"/>
          <w:szCs w:val="28"/>
          <w:lang w:val="uk-UA" w:eastAsia="ru-RU"/>
        </w:rPr>
        <w:br/>
        <w:t>м. Чернігова та усім бажаючим отримати послуги. Виконання цих завдань можливе лише за умови наявності необхідних коштів, одним з джерел їх надходження є платні медичні послуги.</w:t>
      </w:r>
    </w:p>
    <w:p w:rsidR="00A71114" w:rsidRPr="00A71114" w:rsidRDefault="00A71114" w:rsidP="00A71114">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A71114">
        <w:rPr>
          <w:rFonts w:ascii="Times New Roman" w:eastAsia="Times New Roman" w:hAnsi="Times New Roman" w:cs="Times New Roman"/>
          <w:b/>
          <w:bCs/>
          <w:sz w:val="28"/>
          <w:szCs w:val="28"/>
          <w:lang w:val="uk-UA" w:eastAsia="ru-RU"/>
        </w:rPr>
        <w:t>Строк виконання заходів з відстеження</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З 16 серпня 2017 року по 18 серпня 2017 року.</w:t>
      </w:r>
    </w:p>
    <w:p w:rsidR="00A71114" w:rsidRPr="00A71114" w:rsidRDefault="00A71114" w:rsidP="00A71114">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A71114">
        <w:rPr>
          <w:rFonts w:ascii="Times New Roman" w:eastAsia="Times New Roman" w:hAnsi="Times New Roman" w:cs="Times New Roman"/>
          <w:b/>
          <w:bCs/>
          <w:sz w:val="28"/>
          <w:szCs w:val="28"/>
          <w:lang w:val="uk-UA" w:eastAsia="ru-RU"/>
        </w:rPr>
        <w:t>Тип відстеження</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Базове.</w:t>
      </w:r>
    </w:p>
    <w:p w:rsidR="00A71114" w:rsidRPr="00A71114" w:rsidRDefault="00A71114" w:rsidP="00A71114">
      <w:pPr>
        <w:shd w:val="clear" w:color="auto" w:fill="FFFFFF"/>
        <w:spacing w:after="150" w:line="315" w:lineRule="atLeast"/>
        <w:jc w:val="both"/>
        <w:rPr>
          <w:rFonts w:ascii="Times New Roman" w:eastAsia="Times New Roman" w:hAnsi="Times New Roman" w:cs="Times New Roman"/>
          <w:b/>
          <w:bCs/>
          <w:sz w:val="28"/>
          <w:szCs w:val="28"/>
          <w:lang w:val="uk-UA" w:eastAsia="ru-RU"/>
        </w:rPr>
      </w:pPr>
      <w:r w:rsidRPr="00A71114">
        <w:rPr>
          <w:rFonts w:ascii="Times New Roman" w:eastAsia="Times New Roman" w:hAnsi="Times New Roman" w:cs="Times New Roman"/>
          <w:b/>
          <w:bCs/>
          <w:sz w:val="28"/>
          <w:szCs w:val="28"/>
          <w:lang w:val="uk-UA" w:eastAsia="ru-RU"/>
        </w:rPr>
        <w:t>Методи одержання результатів відстеження</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Для проведення базового відстеження використовувалась статистична звітність закладу, звітність про надходження коштів.</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З метою обговорення, отримання пропозицій та зауважень до проекту регуляторного акта, забезпечено оприлюднення проекту розпорядження та аналізу регуляторного впливу на офіційному сайті Чернігівської обласної державної адміністрації в Інтернеті в рубриці – «Регуляторна діяльність»</w:t>
      </w:r>
      <w:r w:rsidRPr="00A71114">
        <w:rPr>
          <w:rFonts w:ascii="Times New Roman" w:eastAsia="Times New Roman" w:hAnsi="Times New Roman" w:cs="Times New Roman"/>
          <w:sz w:val="28"/>
          <w:szCs w:val="28"/>
          <w:lang w:val="uk-UA" w:eastAsia="ru-RU"/>
        </w:rPr>
        <w:br/>
        <w:t>на сторінці – «Проекти регуляторних актів» (</w:t>
      </w:r>
      <w:hyperlink r:id="rId5" w:history="1">
        <w:r w:rsidRPr="00A71114">
          <w:rPr>
            <w:rFonts w:ascii="Times New Roman" w:eastAsia="Times New Roman" w:hAnsi="Times New Roman" w:cs="Times New Roman"/>
            <w:sz w:val="28"/>
            <w:szCs w:val="28"/>
            <w:lang w:val="uk-UA" w:eastAsia="ru-RU"/>
          </w:rPr>
          <w:t>http://cg.gov.ua/index.php?id=2023&amp;tp=1&amp;pg=single_page.php</w:t>
        </w:r>
      </w:hyperlink>
      <w:r w:rsidRPr="00A71114">
        <w:rPr>
          <w:rFonts w:ascii="Times New Roman" w:eastAsia="Times New Roman" w:hAnsi="Times New Roman" w:cs="Times New Roman"/>
          <w:sz w:val="28"/>
          <w:szCs w:val="28"/>
          <w:lang w:val="uk-UA" w:eastAsia="ru-RU"/>
        </w:rPr>
        <w:t>). В ході обговорення пропозицій та зауважень до проекту регуляторного акта та аналізу регуляторного впливу від суб’єктів господарювання та громадян не надходило.</w:t>
      </w:r>
    </w:p>
    <w:p w:rsidR="00A71114" w:rsidRPr="00A71114" w:rsidRDefault="00A71114" w:rsidP="00A71114">
      <w:pPr>
        <w:shd w:val="clear" w:color="auto" w:fill="FFFFFF"/>
        <w:spacing w:after="150" w:line="315" w:lineRule="atLeast"/>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b/>
          <w:bCs/>
          <w:sz w:val="28"/>
          <w:szCs w:val="28"/>
          <w:lang w:val="uk-UA" w:eastAsia="ru-RU"/>
        </w:rPr>
        <w:t>Дані та припущення, на основі яких відстежувалася результативність, а також способи одержання даних</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Серед показників результативності впровадження регуляторного акта є:</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 отримання своєчасних та якісних медичних послуг;</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 збільшення кількості осіб, бажаючих отримати медичні послуги;</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 надходження до бюджетів всіх рівнів.</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 xml:space="preserve">Прийняття цього регуляторного акта дозволить закладу залучити для розвитку додаткові кошти і поліпшити матеріально-технічну базу, що дає </w:t>
      </w:r>
      <w:r w:rsidRPr="00A71114">
        <w:rPr>
          <w:rFonts w:ascii="Times New Roman" w:eastAsia="Times New Roman" w:hAnsi="Times New Roman" w:cs="Times New Roman"/>
          <w:sz w:val="28"/>
          <w:szCs w:val="28"/>
          <w:lang w:val="uk-UA" w:eastAsia="ru-RU"/>
        </w:rPr>
        <w:lastRenderedPageBreak/>
        <w:t>можливість обладнати лікарню сучасним обладнанням, інструментами, своєчасно проводити поточний ремонт приміщень.</w:t>
      </w:r>
    </w:p>
    <w:p w:rsidR="00A71114" w:rsidRPr="00A71114" w:rsidRDefault="00A71114" w:rsidP="00A71114">
      <w:pPr>
        <w:shd w:val="clear" w:color="auto" w:fill="FFFFFF"/>
        <w:spacing w:after="150" w:line="315" w:lineRule="atLeast"/>
        <w:ind w:left="57"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Наслідком дії регуляторного акта є встановлення оптимального рівня тарифів на платні медичні послуги, впровадження нових сучасних технологій діагностики і лікування, збільшення надходжень до бюджетів всіх рівнів та інше.</w:t>
      </w:r>
    </w:p>
    <w:p w:rsidR="00A71114" w:rsidRPr="00A71114" w:rsidRDefault="00A71114" w:rsidP="00A71114">
      <w:pPr>
        <w:shd w:val="clear" w:color="auto" w:fill="FFFFFF"/>
        <w:spacing w:after="150" w:line="315" w:lineRule="atLeast"/>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b/>
          <w:bCs/>
          <w:sz w:val="28"/>
          <w:szCs w:val="28"/>
          <w:lang w:val="uk-UA" w:eastAsia="ru-RU"/>
        </w:rPr>
        <w:t>Кількісні та якісні значення показників результативності акта</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Основними показниками результативності дії регуляторного акта є стабільне функціонування та достатнє фінансування лікарні для забезпечення населення якісними медичними послугами за економічно обґрунтованими тарифами.</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Показники результативності цього регуляторного акта, а також їх прогнозні значення наведені у наступній таблиці.</w:t>
      </w:r>
    </w:p>
    <w:tbl>
      <w:tblPr>
        <w:tblW w:w="96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0" w:type="dxa"/>
          <w:right w:w="0" w:type="dxa"/>
        </w:tblCellMar>
        <w:tblLook w:val="04A0" w:firstRow="1" w:lastRow="0" w:firstColumn="1" w:lastColumn="0" w:noHBand="0" w:noVBand="1"/>
      </w:tblPr>
      <w:tblGrid>
        <w:gridCol w:w="2388"/>
        <w:gridCol w:w="2268"/>
        <w:gridCol w:w="2410"/>
        <w:gridCol w:w="2552"/>
      </w:tblGrid>
      <w:tr w:rsidR="00A71114" w:rsidRPr="00A71114" w:rsidTr="00A71114">
        <w:trPr>
          <w:trHeight w:val="2370"/>
        </w:trPr>
        <w:tc>
          <w:tcPr>
            <w:tcW w:w="238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34" w:hanging="34"/>
              <w:jc w:val="center"/>
              <w:rPr>
                <w:rFonts w:ascii="Times New Roman" w:eastAsia="Times New Roman" w:hAnsi="Times New Roman" w:cs="Times New Roman"/>
                <w:sz w:val="24"/>
                <w:szCs w:val="24"/>
                <w:lang w:val="en-US" w:eastAsia="ru-RU"/>
              </w:rPr>
            </w:pPr>
            <w:r w:rsidRPr="00A71114">
              <w:rPr>
                <w:rFonts w:ascii="Times New Roman" w:eastAsia="Times New Roman" w:hAnsi="Times New Roman" w:cs="Times New Roman"/>
                <w:b/>
                <w:bCs/>
                <w:sz w:val="24"/>
                <w:szCs w:val="24"/>
                <w:lang w:val="uk-UA" w:eastAsia="ru-RU"/>
              </w:rPr>
              <w:t>Показник</w:t>
            </w:r>
            <w:r>
              <w:rPr>
                <w:rFonts w:ascii="Times New Roman" w:eastAsia="Times New Roman" w:hAnsi="Times New Roman" w:cs="Times New Roman"/>
                <w:sz w:val="24"/>
                <w:szCs w:val="24"/>
                <w:lang w:val="en-US" w:eastAsia="ru-RU"/>
              </w:rPr>
              <w:t xml:space="preserve"> </w:t>
            </w:r>
            <w:r w:rsidRPr="00A71114">
              <w:rPr>
                <w:rFonts w:ascii="Times New Roman" w:eastAsia="Times New Roman" w:hAnsi="Times New Roman" w:cs="Times New Roman"/>
                <w:b/>
                <w:bCs/>
                <w:sz w:val="24"/>
                <w:szCs w:val="24"/>
                <w:lang w:val="uk-UA" w:eastAsia="ru-RU"/>
              </w:rPr>
              <w:t>результативності</w:t>
            </w:r>
          </w:p>
        </w:tc>
        <w:tc>
          <w:tcPr>
            <w:tcW w:w="226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hanging="34"/>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b/>
                <w:bCs/>
                <w:sz w:val="24"/>
                <w:szCs w:val="24"/>
                <w:lang w:val="uk-UA" w:eastAsia="ru-RU"/>
              </w:rPr>
              <w:t>Базове значення</w:t>
            </w:r>
          </w:p>
          <w:p w:rsidR="00A71114" w:rsidRPr="00A71114" w:rsidRDefault="00A71114" w:rsidP="00A71114">
            <w:pPr>
              <w:spacing w:after="150" w:line="336" w:lineRule="atLeast"/>
              <w:ind w:hanging="34"/>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(визначається при базовому відстеженні результативності)</w:t>
            </w:r>
          </w:p>
        </w:tc>
        <w:tc>
          <w:tcPr>
            <w:tcW w:w="2410"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hanging="34"/>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b/>
                <w:bCs/>
                <w:sz w:val="24"/>
                <w:szCs w:val="24"/>
                <w:lang w:val="uk-UA" w:eastAsia="ru-RU"/>
              </w:rPr>
              <w:t>Повторне значення</w:t>
            </w:r>
          </w:p>
          <w:p w:rsidR="00A71114" w:rsidRPr="00A71114" w:rsidRDefault="00A71114" w:rsidP="00A71114">
            <w:pPr>
              <w:spacing w:after="150" w:line="336" w:lineRule="atLeast"/>
              <w:ind w:hanging="34"/>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(при повторному відстеженні результативності не пізніше, ніж через 2 роки з дня набрання чинності)</w:t>
            </w:r>
          </w:p>
        </w:tc>
        <w:tc>
          <w:tcPr>
            <w:tcW w:w="2552"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hanging="34"/>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b/>
                <w:bCs/>
                <w:sz w:val="24"/>
                <w:szCs w:val="24"/>
                <w:lang w:val="uk-UA" w:eastAsia="ru-RU"/>
              </w:rPr>
              <w:t>Періодичне значення</w:t>
            </w:r>
          </w:p>
          <w:p w:rsidR="00A71114" w:rsidRPr="00A71114" w:rsidRDefault="00A71114" w:rsidP="00A71114">
            <w:pPr>
              <w:spacing w:after="150" w:line="336" w:lineRule="atLeast"/>
              <w:ind w:hanging="34"/>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(при періодичному відстеженні результативності через 3 роки з дня виконання заходів повторного відстеження)</w:t>
            </w:r>
          </w:p>
        </w:tc>
      </w:tr>
      <w:tr w:rsidR="00A71114" w:rsidRPr="00A71114" w:rsidTr="00A71114">
        <w:trPr>
          <w:trHeight w:val="1335"/>
        </w:trPr>
        <w:tc>
          <w:tcPr>
            <w:tcW w:w="238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 xml:space="preserve">Розмір надходжень до державного та місцевих бюджетів і державних цільових фондів, пов'язаних з дією акта, тис. </w:t>
            </w:r>
            <w:proofErr w:type="spellStart"/>
            <w:r w:rsidRPr="00A71114">
              <w:rPr>
                <w:rFonts w:ascii="Times New Roman" w:eastAsia="Times New Roman" w:hAnsi="Times New Roman" w:cs="Times New Roman"/>
                <w:i/>
                <w:iCs/>
                <w:sz w:val="24"/>
                <w:szCs w:val="24"/>
                <w:lang w:val="uk-UA" w:eastAsia="ru-RU"/>
              </w:rPr>
              <w:t>грн</w:t>
            </w:r>
            <w:proofErr w:type="spellEnd"/>
          </w:p>
        </w:tc>
        <w:tc>
          <w:tcPr>
            <w:tcW w:w="226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w:t>
            </w:r>
          </w:p>
        </w:tc>
        <w:tc>
          <w:tcPr>
            <w:tcW w:w="2410"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w:t>
            </w:r>
          </w:p>
        </w:tc>
        <w:tc>
          <w:tcPr>
            <w:tcW w:w="2552"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w:t>
            </w:r>
          </w:p>
        </w:tc>
      </w:tr>
      <w:tr w:rsidR="00A71114" w:rsidRPr="00A71114" w:rsidTr="00A71114">
        <w:trPr>
          <w:trHeight w:val="600"/>
        </w:trPr>
        <w:tc>
          <w:tcPr>
            <w:tcW w:w="238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Надходження до цільових фондів,тис. грн.</w:t>
            </w:r>
          </w:p>
        </w:tc>
        <w:tc>
          <w:tcPr>
            <w:tcW w:w="226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189,2</w:t>
            </w:r>
          </w:p>
        </w:tc>
        <w:tc>
          <w:tcPr>
            <w:tcW w:w="2410"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189,2</w:t>
            </w:r>
          </w:p>
        </w:tc>
        <w:tc>
          <w:tcPr>
            <w:tcW w:w="2552"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208,4</w:t>
            </w:r>
          </w:p>
        </w:tc>
      </w:tr>
      <w:tr w:rsidR="00A71114" w:rsidRPr="00A71114" w:rsidTr="00A71114">
        <w:trPr>
          <w:trHeight w:val="1650"/>
        </w:trPr>
        <w:tc>
          <w:tcPr>
            <w:tcW w:w="238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 xml:space="preserve">Кількість суб’єктів господарювання, на яких поширюватиметься дія акта (які отримуватимуть </w:t>
            </w:r>
            <w:r w:rsidRPr="00A71114">
              <w:rPr>
                <w:rFonts w:ascii="Times New Roman" w:eastAsia="Times New Roman" w:hAnsi="Times New Roman" w:cs="Times New Roman"/>
                <w:i/>
                <w:iCs/>
                <w:sz w:val="24"/>
                <w:szCs w:val="24"/>
                <w:lang w:val="uk-UA" w:eastAsia="ru-RU"/>
              </w:rPr>
              <w:lastRenderedPageBreak/>
              <w:t>відповідні платні медичні послуги), одиниць*</w:t>
            </w:r>
          </w:p>
        </w:tc>
        <w:tc>
          <w:tcPr>
            <w:tcW w:w="226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lastRenderedPageBreak/>
              <w:t>57</w:t>
            </w:r>
          </w:p>
        </w:tc>
        <w:tc>
          <w:tcPr>
            <w:tcW w:w="2410"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57</w:t>
            </w:r>
          </w:p>
        </w:tc>
        <w:tc>
          <w:tcPr>
            <w:tcW w:w="2552"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14"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60</w:t>
            </w:r>
          </w:p>
        </w:tc>
      </w:tr>
      <w:tr w:rsidR="00A71114" w:rsidRPr="00A71114" w:rsidTr="00A71114">
        <w:trPr>
          <w:trHeight w:val="1410"/>
        </w:trPr>
        <w:tc>
          <w:tcPr>
            <w:tcW w:w="238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lastRenderedPageBreak/>
              <w:t>Кількість фізичних осіб, на яких поширюватиметься дія акта (які отримуватимуть відповідні платні медичні послуги), осіб*</w:t>
            </w:r>
          </w:p>
        </w:tc>
        <w:tc>
          <w:tcPr>
            <w:tcW w:w="226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9676</w:t>
            </w:r>
          </w:p>
        </w:tc>
        <w:tc>
          <w:tcPr>
            <w:tcW w:w="2410"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9750</w:t>
            </w:r>
          </w:p>
        </w:tc>
        <w:tc>
          <w:tcPr>
            <w:tcW w:w="2552"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14"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9750</w:t>
            </w:r>
          </w:p>
        </w:tc>
      </w:tr>
      <w:tr w:rsidR="00A71114" w:rsidRPr="00A71114" w:rsidTr="00A71114">
        <w:trPr>
          <w:trHeight w:val="1710"/>
        </w:trPr>
        <w:tc>
          <w:tcPr>
            <w:tcW w:w="2388" w:type="dxa"/>
            <w:shd w:val="clear" w:color="auto" w:fill="FFFFFF"/>
            <w:tcMar>
              <w:top w:w="120" w:type="dxa"/>
              <w:left w:w="120" w:type="dxa"/>
              <w:bottom w:w="120" w:type="dxa"/>
              <w:right w:w="120" w:type="dxa"/>
            </w:tcMar>
            <w:hideMark/>
          </w:tcPr>
          <w:p w:rsidR="00A71114" w:rsidRPr="00A71114" w:rsidRDefault="00A71114" w:rsidP="00A71114">
            <w:pPr>
              <w:spacing w:after="0" w:line="336" w:lineRule="atLeast"/>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 xml:space="preserve">Обсяг наданих лікарнею медичних послуг, тис. </w:t>
            </w:r>
            <w:proofErr w:type="spellStart"/>
            <w:r w:rsidRPr="00A71114">
              <w:rPr>
                <w:rFonts w:ascii="Times New Roman" w:eastAsia="Times New Roman" w:hAnsi="Times New Roman" w:cs="Times New Roman"/>
                <w:i/>
                <w:iCs/>
                <w:sz w:val="24"/>
                <w:szCs w:val="24"/>
                <w:lang w:val="uk-UA" w:eastAsia="ru-RU"/>
              </w:rPr>
              <w:t>грн</w:t>
            </w:r>
            <w:proofErr w:type="spellEnd"/>
            <w:r w:rsidRPr="00A71114">
              <w:rPr>
                <w:rFonts w:ascii="Times New Roman" w:eastAsia="Times New Roman" w:hAnsi="Times New Roman" w:cs="Times New Roman"/>
                <w:i/>
                <w:iCs/>
                <w:sz w:val="24"/>
                <w:szCs w:val="24"/>
                <w:lang w:val="uk-UA" w:eastAsia="ru-RU"/>
              </w:rPr>
              <w:t>,</w:t>
            </w:r>
          </w:p>
          <w:p w:rsidR="00A71114" w:rsidRPr="00A71114" w:rsidRDefault="00A71114" w:rsidP="00A71114">
            <w:pPr>
              <w:spacing w:after="0" w:line="336" w:lineRule="atLeast"/>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 в тому числі:</w:t>
            </w:r>
          </w:p>
          <w:p w:rsidR="00A71114" w:rsidRPr="00A71114" w:rsidRDefault="00A71114" w:rsidP="00A71114">
            <w:pPr>
              <w:spacing w:after="0" w:line="336" w:lineRule="atLeast"/>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 для суб’єктів господарювання</w:t>
            </w:r>
          </w:p>
          <w:p w:rsidR="00A71114" w:rsidRPr="00A71114" w:rsidRDefault="00A71114" w:rsidP="00A71114">
            <w:pPr>
              <w:spacing w:after="0" w:line="336" w:lineRule="atLeast"/>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 для фізичних осіб.</w:t>
            </w:r>
          </w:p>
        </w:tc>
        <w:tc>
          <w:tcPr>
            <w:tcW w:w="2268" w:type="dxa"/>
            <w:shd w:val="clear" w:color="auto" w:fill="FFFFFF"/>
            <w:tcMar>
              <w:top w:w="120" w:type="dxa"/>
              <w:left w:w="120" w:type="dxa"/>
              <w:bottom w:w="120" w:type="dxa"/>
              <w:right w:w="120" w:type="dxa"/>
            </w:tcMar>
            <w:hideMark/>
          </w:tcPr>
          <w:p w:rsidR="00A71114" w:rsidRPr="00A71114" w:rsidRDefault="00A71114" w:rsidP="00A71114">
            <w:pPr>
              <w:spacing w:after="0" w:line="336" w:lineRule="atLeast"/>
              <w:ind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1340,6</w:t>
            </w:r>
          </w:p>
          <w:p w:rsidR="00A71114" w:rsidRPr="00A71114" w:rsidRDefault="00A71114" w:rsidP="00A71114">
            <w:pPr>
              <w:spacing w:after="0" w:line="336" w:lineRule="atLeast"/>
              <w:ind w:firstLine="709"/>
              <w:jc w:val="center"/>
              <w:rPr>
                <w:rFonts w:ascii="Times New Roman" w:eastAsia="Times New Roman" w:hAnsi="Times New Roman" w:cs="Times New Roman"/>
                <w:sz w:val="24"/>
                <w:szCs w:val="24"/>
                <w:lang w:val="uk-UA" w:eastAsia="ru-RU"/>
              </w:rPr>
            </w:pPr>
          </w:p>
          <w:p w:rsidR="00A71114" w:rsidRPr="00A71114" w:rsidRDefault="00A71114" w:rsidP="00A71114">
            <w:pPr>
              <w:spacing w:after="0" w:line="336" w:lineRule="atLeast"/>
              <w:ind w:firstLine="709"/>
              <w:jc w:val="center"/>
              <w:rPr>
                <w:rFonts w:ascii="Times New Roman" w:eastAsia="Times New Roman" w:hAnsi="Times New Roman" w:cs="Times New Roman"/>
                <w:sz w:val="24"/>
                <w:szCs w:val="24"/>
                <w:lang w:val="uk-UA" w:eastAsia="ru-RU"/>
              </w:rPr>
            </w:pPr>
          </w:p>
          <w:p w:rsidR="00A71114" w:rsidRPr="00A71114" w:rsidRDefault="00A71114" w:rsidP="00A71114">
            <w:pPr>
              <w:spacing w:after="0" w:line="336" w:lineRule="atLeast"/>
              <w:ind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685,4</w:t>
            </w:r>
          </w:p>
          <w:p w:rsidR="00A71114" w:rsidRPr="00A71114" w:rsidRDefault="00A71114" w:rsidP="00A71114">
            <w:pPr>
              <w:spacing w:after="0" w:line="336" w:lineRule="atLeast"/>
              <w:ind w:firstLine="709"/>
              <w:jc w:val="center"/>
              <w:rPr>
                <w:rFonts w:ascii="Times New Roman" w:eastAsia="Times New Roman" w:hAnsi="Times New Roman" w:cs="Times New Roman"/>
                <w:sz w:val="24"/>
                <w:szCs w:val="24"/>
                <w:lang w:val="uk-UA" w:eastAsia="ru-RU"/>
              </w:rPr>
            </w:pPr>
          </w:p>
          <w:p w:rsidR="00A71114" w:rsidRPr="00A71114" w:rsidRDefault="00A71114" w:rsidP="00A71114">
            <w:pPr>
              <w:spacing w:after="150" w:line="336" w:lineRule="atLeast"/>
              <w:ind w:firstLine="709"/>
              <w:jc w:val="center"/>
              <w:rPr>
                <w:rFonts w:ascii="Times New Roman" w:eastAsia="Times New Roman" w:hAnsi="Times New Roman" w:cs="Times New Roman"/>
                <w:sz w:val="24"/>
                <w:szCs w:val="24"/>
                <w:lang w:val="en-US" w:eastAsia="ru-RU"/>
              </w:rPr>
            </w:pPr>
            <w:r w:rsidRPr="00A71114">
              <w:rPr>
                <w:rFonts w:ascii="Times New Roman" w:eastAsia="Times New Roman" w:hAnsi="Times New Roman" w:cs="Times New Roman"/>
                <w:sz w:val="24"/>
                <w:szCs w:val="24"/>
                <w:lang w:val="uk-UA" w:eastAsia="ru-RU"/>
              </w:rPr>
              <w:t>655,2</w:t>
            </w:r>
          </w:p>
        </w:tc>
        <w:tc>
          <w:tcPr>
            <w:tcW w:w="2410" w:type="dxa"/>
            <w:shd w:val="clear" w:color="auto" w:fill="FFFFFF"/>
            <w:tcMar>
              <w:top w:w="120" w:type="dxa"/>
              <w:left w:w="120" w:type="dxa"/>
              <w:bottom w:w="120" w:type="dxa"/>
              <w:right w:w="120" w:type="dxa"/>
            </w:tcMar>
            <w:hideMark/>
          </w:tcPr>
          <w:p w:rsidR="00A71114" w:rsidRPr="00A71114" w:rsidRDefault="00A71114" w:rsidP="00A71114">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1350,9</w:t>
            </w:r>
          </w:p>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 </w:t>
            </w:r>
          </w:p>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 </w:t>
            </w:r>
          </w:p>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685,4</w:t>
            </w:r>
          </w:p>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 </w:t>
            </w:r>
          </w:p>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665,5</w:t>
            </w:r>
          </w:p>
        </w:tc>
        <w:tc>
          <w:tcPr>
            <w:tcW w:w="2552" w:type="dxa"/>
            <w:shd w:val="clear" w:color="auto" w:fill="FFFFFF"/>
            <w:tcMar>
              <w:top w:w="120" w:type="dxa"/>
              <w:left w:w="120" w:type="dxa"/>
              <w:bottom w:w="120" w:type="dxa"/>
              <w:right w:w="120" w:type="dxa"/>
            </w:tcMar>
            <w:hideMark/>
          </w:tcPr>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1350,9</w:t>
            </w:r>
          </w:p>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 </w:t>
            </w:r>
          </w:p>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 </w:t>
            </w:r>
          </w:p>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690,7</w:t>
            </w:r>
          </w:p>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 </w:t>
            </w:r>
          </w:p>
          <w:p w:rsidR="00A71114" w:rsidRPr="00A71114" w:rsidRDefault="00A71114" w:rsidP="00736629">
            <w:pPr>
              <w:spacing w:after="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660,2</w:t>
            </w:r>
          </w:p>
        </w:tc>
      </w:tr>
      <w:tr w:rsidR="00A71114" w:rsidRPr="00A71114" w:rsidTr="00A71114">
        <w:trPr>
          <w:trHeight w:val="1410"/>
        </w:trPr>
        <w:tc>
          <w:tcPr>
            <w:tcW w:w="238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firstLine="709"/>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Час, що витрачатиметься суб’єктами господарювання та/або фізичними особами, пов’язаними з виконанням вимого акта</w:t>
            </w:r>
          </w:p>
        </w:tc>
        <w:tc>
          <w:tcPr>
            <w:tcW w:w="7230" w:type="dxa"/>
            <w:gridSpan w:val="3"/>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firstLine="709"/>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90 хв. - час, що витрачатиметься суб’єктом господарювання;</w:t>
            </w:r>
          </w:p>
          <w:p w:rsidR="00A71114" w:rsidRPr="00A71114" w:rsidRDefault="00A71114" w:rsidP="00A71114">
            <w:pPr>
              <w:spacing w:after="150" w:line="336" w:lineRule="atLeast"/>
              <w:ind w:firstLine="709"/>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30 хв. - час, що витрачатиметься фізичною особою.</w:t>
            </w:r>
          </w:p>
        </w:tc>
      </w:tr>
      <w:tr w:rsidR="00A71114" w:rsidRPr="00A71114" w:rsidTr="00A71114">
        <w:trPr>
          <w:trHeight w:val="3120"/>
        </w:trPr>
        <w:tc>
          <w:tcPr>
            <w:tcW w:w="238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firstLine="709"/>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t>Рівень поінформованості суб’єктів господарювання та/або фізичних осіб з основних положень акта</w:t>
            </w:r>
          </w:p>
        </w:tc>
        <w:tc>
          <w:tcPr>
            <w:tcW w:w="7230" w:type="dxa"/>
            <w:gridSpan w:val="3"/>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14" w:firstLine="709"/>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Високий - інформування зацікавлених суб’єктів господарювання та фізичних осіб про розпорядження голови облдержадміністрації буде здійснено шляхом його опублікування в друкованих засобах інформації в газеті «Деснянська правда» та доведення до відома через </w:t>
            </w:r>
            <w:r w:rsidRPr="00A71114">
              <w:rPr>
                <w:rFonts w:ascii="Times New Roman" w:eastAsia="Times New Roman" w:hAnsi="Times New Roman" w:cs="Times New Roman"/>
                <w:i/>
                <w:iCs/>
                <w:sz w:val="24"/>
                <w:szCs w:val="24"/>
                <w:lang w:val="uk-UA" w:eastAsia="ru-RU"/>
              </w:rPr>
              <w:t>Чернігівську обласну державну адміністрацію. </w:t>
            </w:r>
            <w:r w:rsidRPr="00A71114">
              <w:rPr>
                <w:rFonts w:ascii="Times New Roman" w:eastAsia="Times New Roman" w:hAnsi="Times New Roman" w:cs="Times New Roman"/>
                <w:sz w:val="24"/>
                <w:szCs w:val="24"/>
                <w:lang w:val="uk-UA" w:eastAsia="ru-RU"/>
              </w:rPr>
              <w:t>Крім того, зі змістом цього розпорядження можна ознайомитися на офіційному веб-сайті Чернігівської обласної державної адміністрації  (</w:t>
            </w:r>
            <w:proofErr w:type="spellStart"/>
            <w:r w:rsidRPr="00A71114">
              <w:rPr>
                <w:rFonts w:ascii="Times New Roman" w:eastAsia="Times New Roman" w:hAnsi="Times New Roman" w:cs="Times New Roman"/>
                <w:sz w:val="24"/>
                <w:szCs w:val="24"/>
                <w:lang w:val="uk-UA" w:eastAsia="ru-RU"/>
              </w:rPr>
              <w:t>www</w:t>
            </w:r>
            <w:proofErr w:type="spellEnd"/>
            <w:r w:rsidRPr="00A71114">
              <w:rPr>
                <w:rFonts w:ascii="Times New Roman" w:eastAsia="Times New Roman" w:hAnsi="Times New Roman" w:cs="Times New Roman"/>
                <w:sz w:val="24"/>
                <w:szCs w:val="24"/>
                <w:lang w:val="uk-UA" w:eastAsia="ru-RU"/>
              </w:rPr>
              <w:t xml:space="preserve">. </w:t>
            </w:r>
            <w:proofErr w:type="spellStart"/>
            <w:r w:rsidRPr="00A71114">
              <w:rPr>
                <w:rFonts w:ascii="Times New Roman" w:eastAsia="Times New Roman" w:hAnsi="Times New Roman" w:cs="Times New Roman"/>
                <w:sz w:val="24"/>
                <w:szCs w:val="24"/>
                <w:lang w:val="uk-UA" w:eastAsia="ru-RU"/>
              </w:rPr>
              <w:t>cg.gov.ua</w:t>
            </w:r>
            <w:proofErr w:type="spellEnd"/>
            <w:r w:rsidRPr="00A71114">
              <w:rPr>
                <w:rFonts w:ascii="Times New Roman" w:eastAsia="Times New Roman" w:hAnsi="Times New Roman" w:cs="Times New Roman"/>
                <w:sz w:val="24"/>
                <w:szCs w:val="24"/>
                <w:lang w:val="uk-UA" w:eastAsia="ru-RU"/>
              </w:rPr>
              <w:t>) в розділі «Поточна діяльність»/«Доступ до публічної інформації»/«Розпорядження голови ОДА поточні».</w:t>
            </w:r>
          </w:p>
        </w:tc>
      </w:tr>
      <w:tr w:rsidR="00A71114" w:rsidRPr="00A71114" w:rsidTr="00A71114">
        <w:trPr>
          <w:trHeight w:val="900"/>
        </w:trPr>
        <w:tc>
          <w:tcPr>
            <w:tcW w:w="238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firstLine="709"/>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i/>
                <w:iCs/>
                <w:sz w:val="24"/>
                <w:szCs w:val="24"/>
                <w:lang w:val="uk-UA" w:eastAsia="ru-RU"/>
              </w:rPr>
              <w:lastRenderedPageBreak/>
              <w:t>Кількість скарг, отриманих від населення з питань надання неякісних медичних послуг</w:t>
            </w:r>
          </w:p>
        </w:tc>
        <w:tc>
          <w:tcPr>
            <w:tcW w:w="2268"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не прогнозується</w:t>
            </w:r>
          </w:p>
        </w:tc>
        <w:tc>
          <w:tcPr>
            <w:tcW w:w="2410"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10"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не прогнозується</w:t>
            </w:r>
          </w:p>
        </w:tc>
        <w:tc>
          <w:tcPr>
            <w:tcW w:w="2552" w:type="dxa"/>
            <w:shd w:val="clear" w:color="auto" w:fill="FFFFFF"/>
            <w:tcMar>
              <w:top w:w="120" w:type="dxa"/>
              <w:left w:w="120" w:type="dxa"/>
              <w:bottom w:w="120" w:type="dxa"/>
              <w:right w:w="120" w:type="dxa"/>
            </w:tcMar>
            <w:hideMark/>
          </w:tcPr>
          <w:p w:rsidR="00A71114" w:rsidRPr="00A71114" w:rsidRDefault="00A71114" w:rsidP="00A71114">
            <w:pPr>
              <w:spacing w:after="150" w:line="336" w:lineRule="atLeast"/>
              <w:ind w:left="14" w:firstLine="709"/>
              <w:jc w:val="center"/>
              <w:rPr>
                <w:rFonts w:ascii="Times New Roman" w:eastAsia="Times New Roman" w:hAnsi="Times New Roman" w:cs="Times New Roman"/>
                <w:sz w:val="24"/>
                <w:szCs w:val="24"/>
                <w:lang w:val="uk-UA" w:eastAsia="ru-RU"/>
              </w:rPr>
            </w:pPr>
            <w:r w:rsidRPr="00A71114">
              <w:rPr>
                <w:rFonts w:ascii="Times New Roman" w:eastAsia="Times New Roman" w:hAnsi="Times New Roman" w:cs="Times New Roman"/>
                <w:sz w:val="24"/>
                <w:szCs w:val="24"/>
                <w:lang w:val="uk-UA" w:eastAsia="ru-RU"/>
              </w:rPr>
              <w:t>не прогнозується</w:t>
            </w:r>
          </w:p>
        </w:tc>
      </w:tr>
    </w:tbl>
    <w:p w:rsidR="00A71114" w:rsidRPr="00A71114" w:rsidRDefault="00A71114" w:rsidP="00A71114">
      <w:pPr>
        <w:shd w:val="clear" w:color="auto" w:fill="FFFFFF"/>
        <w:spacing w:after="150" w:line="315" w:lineRule="atLeast"/>
        <w:ind w:firstLine="709"/>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i/>
          <w:iCs/>
          <w:sz w:val="28"/>
          <w:szCs w:val="28"/>
          <w:lang w:val="uk-UA" w:eastAsia="ru-RU"/>
        </w:rPr>
        <w:t>* дія регуляторного акта поширюється на суб'єктів господарювання і населення м. Чернігова, які є споживачами послуг  цього закладу, та Чернігівську міську лікарню № 1 Чернігівської міської ради, яка ці послуги надає.</w:t>
      </w:r>
    </w:p>
    <w:p w:rsidR="00A71114" w:rsidRPr="00A71114" w:rsidRDefault="00A71114" w:rsidP="00A71114">
      <w:pPr>
        <w:shd w:val="clear" w:color="auto" w:fill="FFFFFF"/>
        <w:spacing w:after="150" w:line="315" w:lineRule="atLeast"/>
        <w:ind w:firstLine="709"/>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 </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Після виконання відповідних заходів готуються звіти про результативність регуляторного акта. Відстеження результативності регуляторного акта буде проводити Департамент економічного розвитку Чернігівської обласної державної адміністрації спільно з Управлінням охорони здоров’я Чернігівської обласної державної адміністрації.</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Повторне відстеження буде здійснюватись не пізніше двох років після набрання чинності регуляторним актом (ІІІ квартал 2019 року), за результатами якого можливо здійснити порівняння показників базового та повторного відстеження. Періодичне відстеження планується здійснювати один раз на три роки з дня виконання заходів повторного відстеження результативності цього акта (ІІІ квартал 2022 року та кожні наступні 3 роки).</w:t>
      </w:r>
    </w:p>
    <w:p w:rsidR="00A71114" w:rsidRPr="00A71114" w:rsidRDefault="00A71114" w:rsidP="00A71114">
      <w:pPr>
        <w:shd w:val="clear" w:color="auto" w:fill="FFFFFF"/>
        <w:spacing w:after="150" w:line="315" w:lineRule="atLeast"/>
        <w:ind w:firstLine="709"/>
        <w:jc w:val="both"/>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У разі виявлення неврегульованих та проблемних питань вони будуть усунені шляхом внесення відповідних змін.</w:t>
      </w:r>
    </w:p>
    <w:p w:rsidR="00A71114" w:rsidRPr="00A71114" w:rsidRDefault="00A71114" w:rsidP="00A71114">
      <w:pPr>
        <w:shd w:val="clear" w:color="auto" w:fill="FFFFFF"/>
        <w:spacing w:after="150" w:line="315" w:lineRule="atLeast"/>
        <w:ind w:firstLine="709"/>
        <w:jc w:val="center"/>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sz w:val="28"/>
          <w:szCs w:val="28"/>
          <w:lang w:val="uk-UA" w:eastAsia="ru-RU"/>
        </w:rPr>
        <w:t> </w:t>
      </w:r>
    </w:p>
    <w:p w:rsidR="00A71114" w:rsidRPr="00A71114" w:rsidRDefault="00A71114" w:rsidP="00A71114">
      <w:pPr>
        <w:shd w:val="clear" w:color="auto" w:fill="FFFFFF"/>
        <w:spacing w:after="0" w:line="315" w:lineRule="atLeast"/>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b/>
          <w:bCs/>
          <w:sz w:val="28"/>
          <w:szCs w:val="28"/>
          <w:lang w:val="uk-UA" w:eastAsia="ru-RU"/>
        </w:rPr>
        <w:t>Перший заступник голови</w:t>
      </w:r>
    </w:p>
    <w:p w:rsidR="00A71114" w:rsidRPr="00A71114" w:rsidRDefault="00A71114" w:rsidP="00A71114">
      <w:pPr>
        <w:shd w:val="clear" w:color="auto" w:fill="FFFFFF"/>
        <w:spacing w:after="150" w:line="315" w:lineRule="atLeast"/>
        <w:rPr>
          <w:rFonts w:ascii="Times New Roman" w:eastAsia="Times New Roman" w:hAnsi="Times New Roman" w:cs="Times New Roman"/>
          <w:sz w:val="28"/>
          <w:szCs w:val="28"/>
          <w:lang w:val="uk-UA" w:eastAsia="ru-RU"/>
        </w:rPr>
      </w:pPr>
      <w:r w:rsidRPr="00A71114">
        <w:rPr>
          <w:rFonts w:ascii="Times New Roman" w:eastAsia="Times New Roman" w:hAnsi="Times New Roman" w:cs="Times New Roman"/>
          <w:b/>
          <w:bCs/>
          <w:sz w:val="28"/>
          <w:szCs w:val="28"/>
          <w:lang w:val="uk-UA" w:eastAsia="ru-RU"/>
        </w:rPr>
        <w:t xml:space="preserve">обласної державної адміністрації                                              Л.В. </w:t>
      </w:r>
      <w:proofErr w:type="spellStart"/>
      <w:r w:rsidRPr="00A71114">
        <w:rPr>
          <w:rFonts w:ascii="Times New Roman" w:eastAsia="Times New Roman" w:hAnsi="Times New Roman" w:cs="Times New Roman"/>
          <w:b/>
          <w:bCs/>
          <w:sz w:val="28"/>
          <w:szCs w:val="28"/>
          <w:lang w:val="uk-UA" w:eastAsia="ru-RU"/>
        </w:rPr>
        <w:t>Сахневич</w:t>
      </w:r>
      <w:proofErr w:type="spellEnd"/>
    </w:p>
    <w:p w:rsidR="00007EFA" w:rsidRPr="00A71114" w:rsidRDefault="00007EFA">
      <w:pPr>
        <w:ind w:firstLine="709"/>
        <w:rPr>
          <w:rFonts w:ascii="Times New Roman" w:hAnsi="Times New Roman" w:cs="Times New Roman"/>
          <w:sz w:val="28"/>
          <w:szCs w:val="28"/>
          <w:lang w:val="uk-UA"/>
        </w:rPr>
      </w:pPr>
      <w:bookmarkStart w:id="0" w:name="_GoBack"/>
      <w:bookmarkEnd w:id="0"/>
    </w:p>
    <w:sectPr w:rsidR="00007EFA" w:rsidRPr="00A71114" w:rsidSect="00A71114">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114"/>
    <w:rsid w:val="00007EFA"/>
    <w:rsid w:val="00736629"/>
    <w:rsid w:val="00A711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1114"/>
    <w:rPr>
      <w:b/>
      <w:bCs/>
    </w:rPr>
  </w:style>
  <w:style w:type="character" w:styleId="a5">
    <w:name w:val="Hyperlink"/>
    <w:basedOn w:val="a0"/>
    <w:uiPriority w:val="99"/>
    <w:semiHidden/>
    <w:unhideWhenUsed/>
    <w:rsid w:val="00A71114"/>
    <w:rPr>
      <w:color w:val="0000FF"/>
      <w:u w:val="single"/>
    </w:rPr>
  </w:style>
  <w:style w:type="character" w:customStyle="1" w:styleId="apple-converted-space">
    <w:name w:val="apple-converted-space"/>
    <w:basedOn w:val="a0"/>
    <w:rsid w:val="00A71114"/>
  </w:style>
  <w:style w:type="character" w:styleId="a6">
    <w:name w:val="Emphasis"/>
    <w:basedOn w:val="a0"/>
    <w:uiPriority w:val="20"/>
    <w:qFormat/>
    <w:rsid w:val="00A71114"/>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1114"/>
    <w:rPr>
      <w:b/>
      <w:bCs/>
    </w:rPr>
  </w:style>
  <w:style w:type="character" w:styleId="a5">
    <w:name w:val="Hyperlink"/>
    <w:basedOn w:val="a0"/>
    <w:uiPriority w:val="99"/>
    <w:semiHidden/>
    <w:unhideWhenUsed/>
    <w:rsid w:val="00A71114"/>
    <w:rPr>
      <w:color w:val="0000FF"/>
      <w:u w:val="single"/>
    </w:rPr>
  </w:style>
  <w:style w:type="character" w:customStyle="1" w:styleId="apple-converted-space">
    <w:name w:val="apple-converted-space"/>
    <w:basedOn w:val="a0"/>
    <w:rsid w:val="00A71114"/>
  </w:style>
  <w:style w:type="character" w:styleId="a6">
    <w:name w:val="Emphasis"/>
    <w:basedOn w:val="a0"/>
    <w:uiPriority w:val="20"/>
    <w:qFormat/>
    <w:rsid w:val="00A711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752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g.gov.ua/index.php?id=2023&amp;tp=1&amp;pg=single_page.php"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1256</Words>
  <Characters>7164</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DER</Company>
  <LinksUpToDate>false</LinksUpToDate>
  <CharactersWithSpaces>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dc:creator>
  <cp:keywords/>
  <dc:description/>
  <cp:lastModifiedBy>spr</cp:lastModifiedBy>
  <cp:revision>1</cp:revision>
  <dcterms:created xsi:type="dcterms:W3CDTF">2019-05-15T06:19:00Z</dcterms:created>
  <dcterms:modified xsi:type="dcterms:W3CDTF">2019-05-15T06:33:00Z</dcterms:modified>
</cp:coreProperties>
</file>