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AE" w:rsidRDefault="002C2BAE" w:rsidP="002C2BAE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  <w:bookmarkStart w:id="0" w:name="_GoBack"/>
      <w:bookmarkEnd w:id="0"/>
    </w:p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</w:t>
      </w:r>
      <w:r w:rsidR="007629DA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BA2A55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235D1" w:rsidRPr="002C2BAE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3D073C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2C2BAE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235D1" w:rsidRPr="002C2BAE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3D073C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5A35E6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235D1" w:rsidRPr="002C2BAE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AB9" w:rsidRDefault="00354AB9" w:rsidP="00075B88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4235D1" w:rsidRPr="005A35E6" w:rsidRDefault="003D073C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BA2A55" w:rsidRDefault="00BA2A55" w:rsidP="00075B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A55">
              <w:rPr>
                <w:rFonts w:ascii="Times New Roman" w:hAnsi="Times New Roman"/>
                <w:sz w:val="28"/>
                <w:szCs w:val="28"/>
                <w:lang w:val="uk-UA"/>
              </w:rPr>
              <w:t>Програма покращення матеріально-технічного забезпечення заходів територіальної оборони, військових частин та правоохоронних органів, які дислокуються на території Чернігівської області, на 2020 рік</w:t>
            </w:r>
            <w:r w:rsidR="00A56986" w:rsidRPr="00BA2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яка затверджена рішенням </w:t>
            </w:r>
            <w:r w:rsidR="00354AB9" w:rsidRPr="00BA2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двадцять першої</w:t>
            </w:r>
            <w:r w:rsidR="00354AB9" w:rsidRPr="00BA2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сесії обласної ради сьомого скликання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354AB9" w:rsidRPr="00BA2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грудня </w:t>
            </w:r>
            <w:r w:rsidR="007629DA" w:rsidRPr="00BA2A55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354AB9" w:rsidRPr="00BA2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  <w:r w:rsidR="00075B88" w:rsidRPr="00BA2A55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 xml:space="preserve">№ </w:t>
            </w:r>
            <w:r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>6</w:t>
            </w:r>
            <w:r w:rsidR="00075B88" w:rsidRPr="00BA2A55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>-</w:t>
            </w:r>
            <w:r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>21</w:t>
            </w:r>
            <w:r w:rsidR="00075B88" w:rsidRPr="00BA2A55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>/VII</w:t>
            </w:r>
          </w:p>
        </w:tc>
      </w:tr>
      <w:tr w:rsidR="004235D1" w:rsidRPr="002C2BAE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A35E6">
        <w:rPr>
          <w:rFonts w:ascii="Times New Roman" w:hAnsi="Times New Roman"/>
          <w:color w:val="auto"/>
          <w:szCs w:val="24"/>
          <w:lang w:val="uk-UA"/>
        </w:rPr>
        <w:t>Напрями діяльності та заходи регіональної цільової програми</w:t>
      </w:r>
      <w:r w:rsidR="003E67E0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="00BA2A55" w:rsidRPr="00BA2A55">
        <w:rPr>
          <w:rFonts w:ascii="Times New Roman" w:hAnsi="Times New Roman"/>
          <w:sz w:val="28"/>
          <w:szCs w:val="28"/>
          <w:u w:val="single"/>
          <w:lang w:val="uk-UA"/>
        </w:rPr>
        <w:t>Програма покращення матеріально-технічного забезпечення заходів територіальної оборони, військових частин та правоохоронних органів, які дислокуються на території Чернігівської області, на 2020 рік</w:t>
      </w:r>
      <w:r w:rsidR="00BA2A55" w:rsidRPr="005A35E6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Pr="005A35E6">
        <w:rPr>
          <w:rFonts w:ascii="Times New Roman" w:hAnsi="Times New Roman"/>
          <w:color w:val="auto"/>
          <w:szCs w:val="24"/>
          <w:lang w:val="uk-UA"/>
        </w:rPr>
        <w:t>__________________________________________________</w:t>
      </w:r>
      <w:r w:rsidR="00BA2A55">
        <w:rPr>
          <w:rFonts w:ascii="Times New Roman" w:hAnsi="Times New Roman"/>
          <w:color w:val="auto"/>
          <w:szCs w:val="24"/>
          <w:lang w:val="uk-UA"/>
        </w:rPr>
        <w:t>________________________________________________________________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Pr="005A35E6">
        <w:rPr>
          <w:rFonts w:ascii="Times New Roman" w:hAnsi="Times New Roman"/>
          <w:color w:val="auto"/>
          <w:szCs w:val="24"/>
          <w:lang w:val="uk-UA"/>
        </w:rPr>
        <w:t xml:space="preserve">        (назва програми)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F43BB3" w:rsidRPr="002C2BAE" w:rsidTr="00F774E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43BB3" w:rsidRPr="005A35E6" w:rsidTr="00F774E4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5A35E6" w:rsidTr="00F774E4">
        <w:trPr>
          <w:cantSplit/>
          <w:trHeight w:val="29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2C2BAE" w:rsidTr="00F774E4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21" w:rsidRPr="00806B21" w:rsidRDefault="00806B21" w:rsidP="005B72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2C2BAE">
              <w:rPr>
                <w:rFonts w:ascii="Times New Roman" w:hAnsi="Times New Roman"/>
                <w:szCs w:val="24"/>
                <w:lang w:val="ru-RU"/>
              </w:rPr>
              <w:t>Покращання</w:t>
            </w:r>
            <w:proofErr w:type="spellEnd"/>
            <w:r w:rsidRPr="002C2BA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C2BAE">
              <w:rPr>
                <w:rFonts w:ascii="Times New Roman" w:hAnsi="Times New Roman"/>
                <w:szCs w:val="24"/>
                <w:lang w:val="ru-RU"/>
              </w:rPr>
              <w:t>матеріально</w:t>
            </w:r>
            <w:proofErr w:type="spellEnd"/>
            <w:r w:rsidRPr="002C2BAE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proofErr w:type="spellStart"/>
            <w:r w:rsidRPr="002C2BAE">
              <w:rPr>
                <w:rFonts w:ascii="Times New Roman" w:hAnsi="Times New Roman"/>
                <w:szCs w:val="24"/>
                <w:lang w:val="ru-RU"/>
              </w:rPr>
              <w:t>технічного</w:t>
            </w:r>
            <w:proofErr w:type="spellEnd"/>
            <w:r w:rsidRPr="002C2BA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C2BAE">
              <w:rPr>
                <w:rFonts w:ascii="Times New Roman" w:hAnsi="Times New Roman"/>
                <w:szCs w:val="24"/>
                <w:lang w:val="ru-RU"/>
              </w:rPr>
              <w:t>забезпечення</w:t>
            </w:r>
            <w:proofErr w:type="spellEnd"/>
            <w:r w:rsidRPr="00806B21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</w:p>
          <w:p w:rsidR="00806B21" w:rsidRPr="00806B21" w:rsidRDefault="00806B21" w:rsidP="00806B21">
            <w:pPr>
              <w:pStyle w:val="Default"/>
              <w:jc w:val="center"/>
            </w:pPr>
            <w:r w:rsidRPr="00806B21">
              <w:t xml:space="preserve">Надання послуг з транспортних перевезень </w:t>
            </w:r>
          </w:p>
          <w:p w:rsidR="00F43BB3" w:rsidRPr="00806B21" w:rsidRDefault="00F43BB3" w:rsidP="005B725C">
            <w:pPr>
              <w:overflowPunct/>
              <w:adjustRightInd/>
              <w:jc w:val="center"/>
              <w:textAlignment w:val="auto"/>
              <w:rPr>
                <w:rFonts w:asciiTheme="minorHAnsi" w:hAnsiTheme="minorHAnsi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BB" w:rsidRDefault="00F33BBB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мент з питань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ЦЗ та ОР ОДА</w:t>
            </w:r>
          </w:p>
          <w:p w:rsidR="00F43BB3" w:rsidRPr="005A35E6" w:rsidRDefault="00354AB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</w:t>
            </w:r>
            <w:r w:rsidR="00806B21">
              <w:rPr>
                <w:rFonts w:ascii="Times New Roman" w:hAnsi="Times New Roman"/>
                <w:color w:val="auto"/>
                <w:szCs w:val="24"/>
                <w:lang w:val="uk-UA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806B21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1 599,0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806B21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1 599,0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806B21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727,</w:t>
            </w:r>
            <w:r w:rsidR="00416CC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416CC1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727,4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667E7A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354AB9" w:rsidRDefault="00416CC1" w:rsidP="00416CC1">
            <w:pPr>
              <w:overflowPunct/>
              <w:adjustRightInd/>
              <w:ind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Закупівля електронних термометрів,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дезинфікуючих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засобів,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мінімийок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надання </w:t>
            </w:r>
            <w:r w:rsidRPr="00416C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транспортних послуг </w:t>
            </w:r>
          </w:p>
        </w:tc>
      </w:tr>
    </w:tbl>
    <w:p w:rsidR="00DD3E91" w:rsidRDefault="00DD3E9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DD3E91" w:rsidRDefault="00DD3E91" w:rsidP="00354AB9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667E7A" w:rsidRPr="005A35E6" w:rsidTr="005B1CDA"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DD3E91" w:rsidRPr="005A35E6" w:rsidTr="005B1CDA">
        <w:trPr>
          <w:trHeight w:val="7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31" w:rsidRPr="005A35E6" w:rsidRDefault="004235D1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540B2B" w:rsidRPr="005A35E6" w:rsidTr="00C00275">
        <w:trPr>
          <w:trHeight w:val="23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8C53C1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1599,0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416CC1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1 099,0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416CC1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416CC1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727,4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416CC1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576,6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416CC1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150,8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8C53C1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871,6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8C53C1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522,4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8C53C1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394,2</w:t>
            </w:r>
          </w:p>
        </w:tc>
      </w:tr>
    </w:tbl>
    <w:p w:rsidR="004235D1" w:rsidRDefault="004235D1">
      <w:pPr>
        <w:rPr>
          <w:rFonts w:asciiTheme="minorHAnsi" w:hAnsiTheme="minorHAnsi"/>
          <w:lang w:val="uk-UA"/>
        </w:rPr>
      </w:pPr>
    </w:p>
    <w:p w:rsidR="004235D1" w:rsidRDefault="004235D1">
      <w:pPr>
        <w:rPr>
          <w:rFonts w:asciiTheme="minorHAnsi" w:hAnsiTheme="minorHAnsi"/>
          <w:lang w:val="uk-UA"/>
        </w:rPr>
      </w:pPr>
    </w:p>
    <w:p w:rsidR="00D2210E" w:rsidRDefault="00D2210E">
      <w:pPr>
        <w:rPr>
          <w:rFonts w:asciiTheme="minorHAnsi" w:hAnsiTheme="minorHAnsi"/>
          <w:lang w:val="uk-UA"/>
        </w:rPr>
      </w:pPr>
    </w:p>
    <w:p w:rsidR="00D2210E" w:rsidRPr="00354AB9" w:rsidRDefault="00D2210E" w:rsidP="00D2210E">
      <w:pPr>
        <w:ind w:right="152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354AB9">
        <w:rPr>
          <w:rFonts w:ascii="Times New Roman" w:hAnsi="Times New Roman"/>
          <w:sz w:val="28"/>
          <w:szCs w:val="28"/>
          <w:lang w:val="ru-RU"/>
        </w:rPr>
        <w:t xml:space="preserve">Директор Департаменту з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цивільного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2210E" w:rsidRPr="00354AB9" w:rsidRDefault="00D2210E" w:rsidP="00D2210E">
      <w:pPr>
        <w:ind w:right="152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354AB9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оборонної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облдержадм</w:t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>іністрації</w:t>
      </w:r>
      <w:proofErr w:type="spellEnd"/>
      <w:r w:rsidR="00354AB9"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>
        <w:rPr>
          <w:rFonts w:ascii="Times New Roman" w:hAnsi="Times New Roman"/>
          <w:sz w:val="28"/>
          <w:szCs w:val="28"/>
          <w:lang w:val="ru-RU"/>
        </w:rPr>
        <w:tab/>
      </w:r>
      <w:r w:rsidR="00354AB9">
        <w:rPr>
          <w:rFonts w:ascii="Times New Roman" w:hAnsi="Times New Roman"/>
          <w:sz w:val="28"/>
          <w:szCs w:val="28"/>
          <w:lang w:val="ru-RU"/>
        </w:rPr>
        <w:tab/>
      </w:r>
      <w:r w:rsidR="00E1520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E15201">
        <w:rPr>
          <w:rFonts w:ascii="Times New Roman" w:hAnsi="Times New Roman"/>
          <w:sz w:val="28"/>
          <w:szCs w:val="28"/>
          <w:lang w:val="ru-RU"/>
        </w:rPr>
        <w:t>Сергій</w:t>
      </w:r>
      <w:proofErr w:type="spellEnd"/>
      <w:r w:rsidR="00E1520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 xml:space="preserve"> БОЛДИРЕВ</w:t>
      </w:r>
    </w:p>
    <w:p w:rsidR="00DD3E91" w:rsidRPr="00354AB9" w:rsidRDefault="00DD3E91">
      <w:pPr>
        <w:rPr>
          <w:rFonts w:asciiTheme="minorHAnsi" w:hAnsiTheme="minorHAnsi"/>
          <w:lang w:val="ru-RU"/>
        </w:rPr>
      </w:pPr>
    </w:p>
    <w:p w:rsidR="00DD3E91" w:rsidRDefault="00DD3E91">
      <w:pPr>
        <w:rPr>
          <w:rFonts w:asciiTheme="minorHAnsi" w:hAnsiTheme="minorHAnsi"/>
          <w:lang w:val="uk-UA"/>
        </w:rPr>
      </w:pPr>
    </w:p>
    <w:p w:rsidR="00075B88" w:rsidRPr="00075B88" w:rsidRDefault="00075B88" w:rsidP="00075B88">
      <w:pPr>
        <w:overflowPunct/>
        <w:textAlignment w:val="auto"/>
        <w:rPr>
          <w:rFonts w:ascii="Times New Roman" w:eastAsiaTheme="minorHAnsi" w:hAnsi="Times New Roman"/>
          <w:szCs w:val="24"/>
          <w:lang w:val="uk-UA" w:eastAsia="en-US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sectPr w:rsidR="00C846A3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75B88"/>
    <w:rsid w:val="000776A1"/>
    <w:rsid w:val="000A4C9A"/>
    <w:rsid w:val="000C0CD9"/>
    <w:rsid w:val="000D5467"/>
    <w:rsid w:val="00182F29"/>
    <w:rsid w:val="001E7C52"/>
    <w:rsid w:val="00296BE4"/>
    <w:rsid w:val="002B60CE"/>
    <w:rsid w:val="002C2BAE"/>
    <w:rsid w:val="002E4CB0"/>
    <w:rsid w:val="002F3808"/>
    <w:rsid w:val="002F7522"/>
    <w:rsid w:val="00335028"/>
    <w:rsid w:val="00354AB9"/>
    <w:rsid w:val="003B46FD"/>
    <w:rsid w:val="003D073C"/>
    <w:rsid w:val="003D2549"/>
    <w:rsid w:val="003E6580"/>
    <w:rsid w:val="003E67E0"/>
    <w:rsid w:val="00416CC1"/>
    <w:rsid w:val="004235D1"/>
    <w:rsid w:val="004C62F2"/>
    <w:rsid w:val="004C74F4"/>
    <w:rsid w:val="00540B2B"/>
    <w:rsid w:val="005B1CDA"/>
    <w:rsid w:val="005B725C"/>
    <w:rsid w:val="006307BB"/>
    <w:rsid w:val="00637AB8"/>
    <w:rsid w:val="00667E7A"/>
    <w:rsid w:val="006C75A0"/>
    <w:rsid w:val="006E4BF8"/>
    <w:rsid w:val="007629DA"/>
    <w:rsid w:val="007D03E5"/>
    <w:rsid w:val="007E082C"/>
    <w:rsid w:val="00806B21"/>
    <w:rsid w:val="008571E3"/>
    <w:rsid w:val="00885DB5"/>
    <w:rsid w:val="008C53C1"/>
    <w:rsid w:val="008E0774"/>
    <w:rsid w:val="0099290C"/>
    <w:rsid w:val="009C6056"/>
    <w:rsid w:val="009D6023"/>
    <w:rsid w:val="009F0A9E"/>
    <w:rsid w:val="00A56986"/>
    <w:rsid w:val="00A609D5"/>
    <w:rsid w:val="00AC5043"/>
    <w:rsid w:val="00B21735"/>
    <w:rsid w:val="00BA2A55"/>
    <w:rsid w:val="00BC78B3"/>
    <w:rsid w:val="00BD68E4"/>
    <w:rsid w:val="00C00275"/>
    <w:rsid w:val="00C846A3"/>
    <w:rsid w:val="00D2210E"/>
    <w:rsid w:val="00D22576"/>
    <w:rsid w:val="00DD3E91"/>
    <w:rsid w:val="00DD5A1A"/>
    <w:rsid w:val="00E132E7"/>
    <w:rsid w:val="00E15201"/>
    <w:rsid w:val="00EC0A31"/>
    <w:rsid w:val="00EC1D90"/>
    <w:rsid w:val="00ED140F"/>
    <w:rsid w:val="00F33BBB"/>
    <w:rsid w:val="00F43BB3"/>
    <w:rsid w:val="00F774E4"/>
    <w:rsid w:val="00FA3941"/>
    <w:rsid w:val="00FB1041"/>
    <w:rsid w:val="00F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C43A0-C020-45D0-B49C-F9E649B1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 Знак Знак Знак"/>
    <w:basedOn w:val="a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rsid w:val="00075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dcterms:created xsi:type="dcterms:W3CDTF">2021-01-12T14:45:00Z</dcterms:created>
  <dcterms:modified xsi:type="dcterms:W3CDTF">2021-01-12T14:45:00Z</dcterms:modified>
</cp:coreProperties>
</file>