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59" w:rsidRDefault="003B0859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3B0859" w:rsidRDefault="008609C5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стан виконання плану заходів за 9 місяців  2024 року </w:t>
      </w:r>
    </w:p>
    <w:p w:rsidR="003B0859" w:rsidRDefault="008609C5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в Україні на період до 2030 року у Чернігівській області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затвердженого розпорядженням начальника обласної військової адміністрації              від 27.04.2023 № 205</w:t>
      </w:r>
    </w:p>
    <w:p w:rsidR="003B0859" w:rsidRDefault="003B085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15046" w:type="dxa"/>
        <w:tblInd w:w="-18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1"/>
        <w:gridCol w:w="106"/>
        <w:gridCol w:w="2022"/>
        <w:gridCol w:w="28"/>
        <w:gridCol w:w="1815"/>
        <w:gridCol w:w="28"/>
        <w:gridCol w:w="1678"/>
        <w:gridCol w:w="1985"/>
        <w:gridCol w:w="10"/>
        <w:gridCol w:w="4809"/>
        <w:gridCol w:w="14"/>
      </w:tblGrid>
      <w:tr w:rsidR="003B0859">
        <w:trPr>
          <w:trHeight w:val="555"/>
        </w:trPr>
        <w:tc>
          <w:tcPr>
            <w:tcW w:w="2552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2157" w:type="dxa"/>
            <w:gridSpan w:val="3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843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Запланована дата завершення</w:t>
            </w:r>
          </w:p>
        </w:tc>
        <w:tc>
          <w:tcPr>
            <w:tcW w:w="1678" w:type="dxa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дата завершення</w:t>
            </w:r>
          </w:p>
        </w:tc>
        <w:tc>
          <w:tcPr>
            <w:tcW w:w="1996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4820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або послуга, які з'явились в результаті виконання заходу</w:t>
            </w:r>
          </w:p>
        </w:tc>
      </w:tr>
      <w:tr w:rsidR="003B0859">
        <w:trPr>
          <w:gridAfter w:val="1"/>
          <w:wAfter w:w="14" w:type="dxa"/>
          <w:trHeight w:val="195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3B0859">
        <w:trPr>
          <w:gridAfter w:val="1"/>
          <w:wAfter w:w="14" w:type="dxa"/>
          <w:trHeight w:val="12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ціль1.1.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ібрано і поширено достовірну інформацію про доступність об’єктів фізичного оточення, а також встановлення вимог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публічних закладів щодо інформування про наявні умови доступності їх будівель і приміщень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  <w:p w:rsidR="003B0859" w:rsidRDefault="003B0859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0.09.2024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оприлюднити на офіційному сайті Управління містобудування та архітектури обласної державної адміністрації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 моніторингу стану пристосування головних входів до будівель органів виконавчої влади та місцевих державних адміністрацій для використання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собами з інвалідністю.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містобудування та архітектури обласної державної адміністрації</w:t>
            </w:r>
          </w:p>
          <w:p w:rsidR="003B0859" w:rsidRDefault="003B0859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01.10.2024 триває узагальнення інформації, отриманої від територіальних громад області, згідно з переліком об’єктів, визначених Міністерством розвитку громад та територій України . 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за участю громадських організацій моніторинг та оцінку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(відповідно до Порядку проведення моніторингу та оцінки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 травня 2021 року № 537)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управителів інформацію про об’єкти, які підлягають оцінці у відповідний період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об’єкти, які підлягають оцінці у 2024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доведена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відома управителів. 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обстеження та оцінку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занесених до переліку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адміністрації, управителі об’єктів, які підлягають оцінці у відповідний період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28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об’єктів, які підлягають оцінці у відповідний період,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роведено обстеження та оцінку об’єктів.</w:t>
            </w:r>
          </w:p>
          <w:p w:rsidR="003B0859" w:rsidRDefault="003B0859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інформацію Управлінню містобудування та архітектури обласної державної адміністрації щодо проведення обстеження об’єктів та оцінку їх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містобудування та архітектури обласної державної адміністрації, управителі об’єктів, які підлягають оцінці у відповідний період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28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Управителями об’єктів надано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інформацію про проведення обстеж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 об’єктів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Управлінню містобудування та архітектури обласної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Зібрано, проаналізовано та оприлюдн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ено інформацію про стан фізичної доступності готелів, інших об’єктів, призначених для надання послуг з розміщення, курортних закладів,  приміщеннях, де здійснюють свою діяльність туроператори, об’єктів туристичної інфраструктури на транспортних магістралях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збір,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стематизацію та аналіз інформації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об’єктах туристичної інфраструктури на транспортних магістралях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 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збору, систематизації та аналізу інформації про стан фізичної доступності надіслано листа від 10.06.2024 районним військови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адміністраціям щодо отримання інформації про стан фізичної доступності в закладах розміщення (готелі, мотелі, сільські садиби, бази відпочинку,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хостели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тощо).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результатами проведеного аналізу підготувати  звіт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об’єктах туристичної інфраструктури на транспортних магістралях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націо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нальностей та релігій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Виконано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Зібрано та проаналізовано інформацію щодо стану фізичної доступності в готелях та інших закладів розміщення, які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об’єктами туристичної інфраструктури. </w:t>
            </w:r>
          </w:p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результатами проведеного аналізу підготовлено звіт.</w:t>
            </w:r>
          </w:p>
          <w:p w:rsidR="003B0859" w:rsidRDefault="003B0859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Зібрано і поширено достовірну інформацію про доступність спортивних об’єктів фізичного оточення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зібрати інформацію щодо кількості об’єктів спортивної інфраструктури, де можливий доступ до фізкультурно-спортивних послуг всіх груп населення, у т.ч. осіб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Зібрано інформацію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інвалідністю.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чисельність спортивних споруд становить 2807, з яких 2690 споруди, що становить 95,8% пристосовані для занять осіб з інвалідністю. В області налічується 27 стадіонів, 408 спортивних залів, 11 критих плавальних басейнів, з яких п’ять 25-ти метрових, 2007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ідкритих площинних споруд (з яких 101 із синтетичним покриттям), 388 майданчиків з тренажерним обладнанням, 687 футбольних полів, 5 лижних баз, 4 веслувальні бази,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водно-спортивна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кінно-спортивні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бази, 54 стрілецьких тирів та 81 тренажерний зал.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Однак, в результаті обстрілів і бойових дій, пов’язаних з російською агресією, 12 спортивних споруд зазнали руйнувань, у т.ч. дві основні капітальні споруди, які мали статус баз олімпійської підготовки з біатлону і лижних гонок та важкої атлетики зруйнова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 практично повністю, а саме: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ДП «Олімпійський навчально-спортивний центр «Чернігів»;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навчально-спортивна база СДЮШОР з лижного спорту.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зв’язку з руйнуваннями, отриманими пошкодженнями та знаходженням спортивних об’єктів в зонах постійних обстрілів,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населених пунктах поблизу кордонів, 124 спортивні споруди протягом звітного періоду не працювали.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Наразі, спільними зусиллями, у т.ч. із залученням міжнародних партнерів,  вирішується питання щодо відновлення пошкоджених споруд та будівництва на місці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повністю зруйнованих споруд нових сучасних об’єктів спортивної інфраструктури на рівні міжнародних стандартів.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підготувати звіт щодо кількості об’єктів спортивної інфраструктури, де можливий доступ до фізкультурно-спортивних послуг всіх груп населення,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т.ч. осіб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звіт щодо загальної кількості об’єктів спортивної інфраструктури в області, в т.ч., де є можливий доступ до фізкультур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но-спортивних послуг всіх груп населення, зокрема осіб з інвалідністю та надіслано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Мінмолодьспорту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</w:p>
          <w:p w:rsidR="003B0859" w:rsidRDefault="003B0859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поширити звіт щодо кількості об’єктів спортивної інфраструктури, де можливий доступ до фізкультурно-спортивних послуг всіх груп населення,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т.ч. осіб з інвалідністю на сайті Департаменту сім’ї, молоді та спорту обласної державної адміністрації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віт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опубліковано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офіційному сайті Департаменту у розділі «Фізична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ьтура та спорт»/«Статистичні звіти»/«2023»/«Спортивні споруди Чернігівська область» </w:t>
            </w:r>
          </w:p>
          <w:p w:rsidR="003B0859" w:rsidRDefault="008609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dsms.cg.gov.ua/index.php?id=21604&amp;tp=1&amp;pg" w:history="1">
              <w:r>
                <w:rPr>
                  <w:rStyle w:val="aff4"/>
                  <w:rFonts w:ascii="Times New Roman" w:hAnsi="Times New Roman" w:cs="Times New Roman"/>
                  <w:sz w:val="24"/>
                  <w:szCs w:val="24"/>
                </w:rPr>
                <w:t>https://dsms.cg.gov.ua/index.php?id=21604&amp;tp=1&amp;pg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      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зібрати та поширити інформацію щодо кількості об’єктів спортивної інфраструктури, на яких поліпшений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Здійснюється збір інформації щодо кількості об’єктів спортивної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інфраструткцри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яких поліпшений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зібрати інформацію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Зібрано інформацію щодо кількості молодіжних центрів, які є доступними для всіх категорій молоді, у тому числі молоді з інвалідністю.</w:t>
            </w:r>
          </w:p>
          <w:p w:rsidR="003B0859" w:rsidRDefault="003B0859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7427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підготувати звіт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ідготовлено звіт щодо кількості молодіжних центрів, які є доступними для всіх категорій молоді, у тому числі молоді з інвалідністю та надано Міністерству молоді та спорту України.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молодіжних центрів, які є доступними для всіх категорій молоді, зокрема осіб з інвалідністю в Чернігівській області складає 3, зокрема:</w:t>
            </w:r>
          </w:p>
          <w:p w:rsidR="003B0859" w:rsidRDefault="008609C5">
            <w:pPr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tooltip="https://www.facebook.com/all4youth.cn" w:history="1">
              <w:r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https://www.facebook.com/all4youth.cn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B0859" w:rsidRDefault="008609C5">
            <w:pPr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Корюківської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Корюківський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«КУБ».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 </w:t>
            </w:r>
            <w:hyperlink r:id="rId11" w:tooltip="https://www.facebook.com/kor.mc.kub" w:history="1">
              <w:r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https://www.facebook.com/kor.mc.kub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3B0859" w:rsidRDefault="008609C5">
            <w:pPr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Ніжинський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tooltip="https://www.facebook.com/NizhynYouthCenter/" w:history="1">
              <w:r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https://www.facebook.com/NizhynYouthCenter/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0859" w:rsidRDefault="008609C5">
            <w:pPr>
              <w:tabs>
                <w:tab w:val="left" w:pos="993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ooltip="https://www.instagram.com/nizhyn_youth_center/" w:history="1">
              <w:r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https://www.in</w:t>
              </w:r>
              <w:r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stagram.com/nizhyn_youth_center/</w:t>
              </w:r>
            </w:hyperlink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поширити звіт щодо кількості молодіжних центрів, які є доступними для всіх категорій молоді, у т.ч. молоді з інвалідністю на сайті Департаменту сім’ї, молоді та спорту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обласної державної адміністрації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та спорту обласної державної адміністрації, комунальна установа «Чернігівський обласний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молодіжний центр» Чернігівської обласної ради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Скасовано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tabs>
                <w:tab w:val="left" w:pos="0"/>
              </w:tabs>
              <w:spacing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доручення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державного секретаря Міністерства молоді та спорту України від 22.08.2023 № 14-д звіт щодо кількості молодіжних центрів не оприлюднено на сайті Департаменту з метою безпеки учасників, які відвідують молодіжні центри.</w:t>
            </w:r>
          </w:p>
          <w:p w:rsidR="003B0859" w:rsidRDefault="003B085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до отримання адміністративних послуг у ЦНАП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надати рекомендації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органам місцевого самоврядування, щодо облаштування приміщень ЦНАП з урахуванням потреб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57" w:type="dxa"/>
            <w:gridSpan w:val="3"/>
            <w:vMerge w:val="restart"/>
            <w:tcBorders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економічного розвитку обласної державної адміністрації,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ищних рад</w:t>
            </w:r>
          </w:p>
          <w:p w:rsidR="003B0859" w:rsidRDefault="008609C5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 місцевого самоврядування 29.03.2024 проінформовані про рекомендації </w:t>
            </w:r>
            <w:proofErr w:type="spellStart"/>
            <w:r>
              <w:rPr>
                <w:sz w:val="24"/>
                <w:szCs w:val="24"/>
              </w:rPr>
              <w:t>Мінцифри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щодо забезпечення виконання заходів з облаштування приміщень ЦНАП, їх територіальних підрозділів та віддалених робочих місць, з урахуванням потреб осіб з інвалідністю, зокрема з порушенням слуху та зору, налагодження співпраці з товариствами УТОС та УТОГ (</w:t>
            </w:r>
            <w:r>
              <w:rPr>
                <w:sz w:val="24"/>
                <w:szCs w:val="24"/>
              </w:rPr>
              <w:t>їх обласними та територіальним підрозділами).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Крім того органам місцевого самоврядування, з метою покращення роботи ЦНАП, зокрема облаштування приміщень з урахуванням потреб </w:t>
            </w:r>
            <w:proofErr w:type="spellStart"/>
            <w:r>
              <w:rPr>
                <w:sz w:val="24"/>
                <w:szCs w:val="24"/>
              </w:rPr>
              <w:t>маломобільних</w:t>
            </w:r>
            <w:proofErr w:type="spellEnd"/>
            <w:r>
              <w:rPr>
                <w:sz w:val="24"/>
                <w:szCs w:val="24"/>
              </w:rPr>
              <w:t xml:space="preserve"> груп населення  та осіб з інвалідністю,  10.05.2024 направлені інфор</w:t>
            </w:r>
            <w:r>
              <w:rPr>
                <w:sz w:val="24"/>
                <w:szCs w:val="24"/>
              </w:rPr>
              <w:t xml:space="preserve">маційні матеріали, створені Міністерством розвитку громад, територій та інфраструктури України, </w:t>
            </w:r>
            <w:proofErr w:type="spellStart"/>
            <w:r>
              <w:rPr>
                <w:sz w:val="24"/>
                <w:szCs w:val="24"/>
              </w:rPr>
              <w:t>Мінцифри</w:t>
            </w:r>
            <w:proofErr w:type="spellEnd"/>
            <w:r>
              <w:rPr>
                <w:sz w:val="24"/>
                <w:szCs w:val="24"/>
              </w:rPr>
              <w:t>, громадським організаціями тощо.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Крім того, 03.09.2024 доведено до відома результати моніторингу облаштувань приміщень ЦНАП з урахуванням потреб </w:t>
            </w:r>
            <w:proofErr w:type="spellStart"/>
            <w:r>
              <w:rPr>
                <w:sz w:val="24"/>
                <w:szCs w:val="24"/>
              </w:rPr>
              <w:t>маломо</w:t>
            </w:r>
            <w:r>
              <w:rPr>
                <w:sz w:val="24"/>
                <w:szCs w:val="24"/>
              </w:rPr>
              <w:t>більних</w:t>
            </w:r>
            <w:proofErr w:type="spellEnd"/>
            <w:r>
              <w:rPr>
                <w:sz w:val="24"/>
                <w:szCs w:val="24"/>
              </w:rPr>
              <w:t xml:space="preserve"> груп населення.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залучити представників органів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місцевого самоврядування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інформаційно-просвітницьких заходів (нарад, семінарів, тренінгів, навчань тощо) у форматі он-лайн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забезпечення доступності адміністративних послуг у ЦНА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з урахуванням потреб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 населення</w:t>
            </w:r>
          </w:p>
        </w:tc>
        <w:tc>
          <w:tcPr>
            <w:tcW w:w="2157" w:type="dxa"/>
            <w:gridSpan w:val="3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3B0859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 метою підвищення рівня інформаційної обізнаності представники органів місцевого </w:t>
            </w:r>
            <w:r>
              <w:rPr>
                <w:sz w:val="24"/>
                <w:szCs w:val="24"/>
              </w:rPr>
              <w:lastRenderedPageBreak/>
              <w:t>самоврядування, в т.ч</w:t>
            </w:r>
            <w:r>
              <w:rPr>
                <w:sz w:val="24"/>
                <w:szCs w:val="24"/>
              </w:rPr>
              <w:t xml:space="preserve">. і працівники ЦНАПУ були залучені до </w:t>
            </w:r>
            <w:proofErr w:type="spellStart"/>
            <w:r>
              <w:rPr>
                <w:sz w:val="24"/>
                <w:szCs w:val="24"/>
              </w:rPr>
              <w:t>онлайн-семінару</w:t>
            </w:r>
            <w:proofErr w:type="spellEnd"/>
            <w:r>
              <w:rPr>
                <w:sz w:val="24"/>
                <w:szCs w:val="24"/>
              </w:rPr>
              <w:t xml:space="preserve"> «Інформаційна 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: доступні та етичні комунікації», присвячений основним викликам та можливим рішенням у сфері інформаційної </w:t>
            </w:r>
            <w:proofErr w:type="spellStart"/>
            <w:r>
              <w:rPr>
                <w:sz w:val="24"/>
                <w:szCs w:val="24"/>
              </w:rPr>
              <w:t>безбар’єрності</w:t>
            </w:r>
            <w:proofErr w:type="spellEnd"/>
            <w:r>
              <w:rPr>
                <w:sz w:val="24"/>
                <w:szCs w:val="24"/>
              </w:rPr>
              <w:t xml:space="preserve">, який відбувся 23.05.2024. 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діалогового заходу, </w:t>
            </w:r>
            <w:r>
              <w:rPr>
                <w:sz w:val="24"/>
                <w:szCs w:val="24"/>
              </w:rPr>
              <w:t>який відбувся 26.09.2024 для представників ЦНАП з актуальних питань надання адміністративних послуг ветеранам війни та особам, на яких поширюється чинність закону України «Про статус ветеранів війни, гарантії їх соціального захисту».</w:t>
            </w:r>
          </w:p>
          <w:p w:rsidR="003B0859" w:rsidRDefault="008609C5">
            <w:pPr>
              <w:pStyle w:val="aff0"/>
              <w:ind w:firstLine="32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https://economy.cg.gov.ua/index.php?id=503353&amp;tp=0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1.2.: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Пристосовано головні входи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будівель органів виконавчої влади та місцевих державних адміністрацій для використання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особами з інвалідністю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органів виконавчої влади та місцевих державних адміністрацій інформацію про необхідність пристосування головних входів до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дівель, де вони розташовані, для використання особами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1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Доведено до відома органів виконавчої влади та місцевих державних адміністрацій інформацію про необхідність пристосування головних входів до будівель, де вони розташовані, для використання особами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довести до відома органів місцевого самоврядування інформацію про необхідність пристосування головних входів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 розробці програм комплексного відновлення територій громад, для використання особами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архітектури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1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Доведено до відома органів місцевого самоврядування інформацію про необхідність пристосування головних входів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 розробці програм комплексного відновлення територій громад, для використання особами з інвалідністю.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функціонування системи цивільного захисту і безпеки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чи надзвичайного стану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облаштувати споруди цивільного захисту засобами, що забезпечують доступ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з питань цивільного захисту та оборонної роботи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                        (у порядку рекомендації),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адміністрації,          </w:t>
            </w:r>
          </w:p>
          <w:p w:rsidR="003B0859" w:rsidRDefault="008609C5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вання (у порядку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Районними військовими адміністраціями, виконавчими комітетами сільських, селищних, міських рад постійно проводиться активна робота щодо обладнання фонду захисних споруд засобами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 населення. </w:t>
            </w:r>
          </w:p>
          <w:p w:rsidR="003B0859" w:rsidRDefault="008609C5">
            <w:pPr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області обладнано 15 сховищ, 27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протирадіаційних укриттів, 1 споруда подвійного призначення та 97 найпростіших укриттів.</w:t>
            </w:r>
          </w:p>
          <w:p w:rsidR="003B0859" w:rsidRDefault="003B0859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дооблаштувати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укриття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освіти, зокрема засобами, що забезпечують доступ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                        (у порядку рекомендації)</w:t>
            </w:r>
          </w:p>
          <w:p w:rsidR="003B0859" w:rsidRDefault="003B0859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Станом на 01.10.2024 із 865 закладів осві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 області 767 мають укриття (504 – власні укриття, 263 – знаходяться поза межами закладів освіти), з них у 765 закладах укриття рекомендовано до використання за призначенням та у 2 тривають ремонтні роботи щодо приведення їх у готовність. Зовсім не мають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укриттів 98 закладів освіти області.</w:t>
            </w:r>
          </w:p>
          <w:p w:rsidR="003B0859" w:rsidRDefault="008609C5">
            <w:pPr>
              <w:spacing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189 закладах освіти укриття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засобами, що забезпечують доступ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населення, включаючи осіб з інвалідністю.</w:t>
            </w:r>
          </w:p>
          <w:p w:rsidR="003B0859" w:rsidRDefault="008609C5">
            <w:pPr>
              <w:spacing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кошти обласного, місцевого бюджетів, а також за допомогою коштів різних благодій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них організацій приведено у готовність укриття у 489 закладах освіти та встановлено 13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швидкоспоруджуваних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захисних споруд цивільного захисту модульного типу.</w:t>
            </w:r>
          </w:p>
          <w:p w:rsidR="003B0859" w:rsidRDefault="008609C5">
            <w:pPr>
              <w:spacing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Посилання на фото укриттів, які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засобами, що забезпечують доступ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аселення, включаючи осіб з інвалідністю: </w:t>
            </w:r>
            <w:hyperlink r:id="rId14" w:tooltip="https://drive.google.com/drive/folders/1xOm6641KEhOxItWniMFvwLC3pIBawqxn?usp=sharing" w:history="1">
              <w:r>
                <w:rPr>
                  <w:rFonts w:ascii="Times New Roman" w:eastAsia="Calibri" w:hAnsi="Times New Roman" w:cs="Times New Roman"/>
                  <w:color w:val="0000CC"/>
                  <w:u w:val="single"/>
                  <w:shd w:val="clear" w:color="auto" w:fill="FFFFFF"/>
                  <w:lang w:eastAsia="ru-RU"/>
                </w:rPr>
                <w:t>https://drive.google.com</w:t>
              </w:r>
              <w:r>
                <w:rPr>
                  <w:rFonts w:ascii="Times New Roman" w:eastAsia="Calibri" w:hAnsi="Times New Roman" w:cs="Times New Roman"/>
                  <w:color w:val="0000CC"/>
                  <w:u w:val="single"/>
                  <w:shd w:val="clear" w:color="auto" w:fill="FFFFFF"/>
                  <w:lang w:eastAsia="ru-RU"/>
                </w:rPr>
                <w:t>/drive/folders/1xOm6641KEhOxItWniMFvwLC3pIBawqxn?usp=sharing</w:t>
              </w:r>
            </w:hyperlink>
          </w:p>
          <w:p w:rsidR="003B0859" w:rsidRDefault="008609C5">
            <w:pPr>
              <w:spacing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вищої та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обладнані пандуси.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Створено умови для дистанційного навчання здобувачів освіти всіх освітньо-кваліфікаційних категорій, що надає їм рівні можливості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забезпечує вільний доступ до здобуття освіти</w:t>
            </w:r>
          </w:p>
          <w:p w:rsidR="003B0859" w:rsidRDefault="008609C5">
            <w:pPr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https://docs.google.com/document/d/1Ac76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hoHShQaoA2L7sUNU7B1uC2QDQrErSwYyvcoMpBM/edit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в закладах охорони здоров'я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 оцінку потреб, планування, фінансування та визначення строків облаштування споруд цивільного захисту засобами, що забезпечують їх доступність для мало 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закладах охорони здоров'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Чернігівської області функціонують  87 закладів охорони здоров’я (з них 4 медичні коледжі), які мають 74 захисні споруди цивільного захисту (9 сховищ, 20 протирадіаційних укриттів та 45 найпростіших укриттів). Деякі заклади охорони здоров'я, у яких на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лансі відсутні захисні споруди, мають можливість використовувати захисні споруди інших суб’єктів господарювання.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даному етапі проводиться робота по укладанню відповідних договорів на використання таких захисних споруд, або отримання листів-погоджень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їх використання.</w:t>
            </w:r>
            <w:r>
              <w:rPr>
                <w:sz w:val="24"/>
                <w:szCs w:val="24"/>
              </w:rPr>
              <w:t xml:space="preserve">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облаштувати  укриття допоміжними засобами в закладах охорони здоров’я для персоналу та пацієнтів закладів, в тому числі для осіб з обмеженими фізичними можливостями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охорони здоров’я для персоналу та пацієнтів закладів, в тому числі для осіб з обмеженими фізичними можливостями, укриття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допоміжними засобами  для осіб з інвалідністю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будівель і приміщень закладів освіти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із забезпеченням універсального дизайну та розумного пристосування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ремонтні роботи щодо забезпечення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доступності закладів освіти усіх рівнів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освіти і науки обласної державної адміністрації,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Чернігівській області до першого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поверху всіх закладів освіти створено архітектурну доступність для осіб з інвалідністю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населення. У 314 закладах на вході в приміщення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пандус та у  318 закладах поручні,  які відповідають державним будівельним нормам. Тако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 у 96  закладах переобладнано туалетні кімнати, у 43 встановлено кнопки виклику чергового, в 11 закладах всередині приміщення та у 8 закладах на вході  до  приміщення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підіймальні платформи,  314 закладів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контрастними обмежувальни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 смугами на сходах всередині приміщення. </w:t>
            </w:r>
          </w:p>
          <w:p w:rsidR="003B0859" w:rsidRDefault="008609C5">
            <w:pPr>
              <w:spacing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Крім того, проведено роботу щодо створення баз даних доступності осіб з особливими потребами до закладів та установ освіти (облаштування території, прилеглої до будівлі закладу або установи, для комфортного перес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населення; тактильні таблички з інформацією, зазначеною шрифтом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Брайля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пандус на вході до будівлі; сходи на вході та всередині будівлі; дверні прорізи; санвузли 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населення). Робота щодо її оновлення продовж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ується</w:t>
            </w:r>
          </w:p>
          <w:p w:rsidR="003B0859" w:rsidRDefault="008609C5">
            <w:pPr>
              <w:pStyle w:val="11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1.3.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 сфері доступності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Підвищено рівень обізнаності та професійних компетентностей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державних службовців, посадових осіб місцевого самоврядування,</w:t>
            </w:r>
          </w:p>
          <w:p w:rsidR="003B0859" w:rsidRDefault="008609C5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представників та власників туристичної інфраструктури, для працівників державних та комунальних установ, організацій, професійних</w:t>
            </w:r>
          </w:p>
          <w:p w:rsidR="003B0859" w:rsidRDefault="008609C5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спільнот та громадськості щодо принципів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навчання державних службовців та посадових осіб місцевого самоврядування з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регіональний центр підвищення кваліфікації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27-28 лютого 2024 року в рамках навчання за загальною короткостроковою програмою підвищення кваліфікації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«Практика застосування міжнародного гуманітарного права в Україні»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висвітлені питання 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на засадах рівності, недискримін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ації, доступності. Всього було охоплено 108 державних службовців місцевих державних адміністрацій, посадових осіб органів місцевого самоврядування області. </w:t>
            </w:r>
          </w:p>
          <w:p w:rsidR="003B0859" w:rsidRDefault="008609C5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24–25 квітня 2024 року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рамках навчання за загальною короткостроковою програмою підвищення кваліфі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«Забезпечення створення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безбар’єрного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простору на засадах рівності, недискримінації, доступності та інклюзії» взяло участь                     46 осіб.</w:t>
            </w:r>
          </w:p>
          <w:p w:rsidR="003B0859" w:rsidRDefault="008609C5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 – 31 травня 2024 року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 рамках навчання за загальною короткостроковою програмою підвищення квал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іфікації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«Публічна служба і права людини» взяло участь 120 осіб.</w:t>
            </w:r>
          </w:p>
          <w:p w:rsidR="003B0859" w:rsidRDefault="008609C5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Впродовж вересня 2024 року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рамках навчання за загальною короткостроковою програмою підвищення кваліфікації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вперше призначених державних службовців категорії «В» взяло участь 65 осіб.</w:t>
            </w:r>
          </w:p>
          <w:p w:rsidR="003B0859" w:rsidRDefault="008609C5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https://docs.google.com/document/d/1Ac76hoHShQaoA2L7sUNU7B1uC2QDQrErSwYyvcoMpBM/edit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(семінари, круглі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 та нормативних актів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туризму, національностей та релігій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ції              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Територіальними громадами Чернігівської області складено графіки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(семінари, круглі столи тощо) з суб’єктами туристичної інфраструктури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на території Чернігівської області.</w:t>
            </w:r>
          </w:p>
          <w:p w:rsidR="003B0859" w:rsidRDefault="003B0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(семінари, круглі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нормативних актів з питань доступності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мендації),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              (у порядку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взяв участь у форумі «ЧЕК-ЛИСТ ПОРАД ГОСТИННОСТІ БЕЗ БАР’ЄРІВ» в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Чернігові та передано матеріали для використання в роботі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краєзнавчому музею ім.                                       Ю.С.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(16.02.2024).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міській територіальній громаді (враховуючи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ситуацію) було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едено індивідуальну бесіду з керівником закладу готелю «Ревна» щодо створення безперешкодного середовища для осіб з інвалідністю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Короп в інформаційно-туристичному центрі «Космос» проведено семінар «Створення безперешкодного 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Коропської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територіальної громади» (05.03.2024).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Новгород-Сіверська територіальна громада з метою налагодження дієвої роботи з суб’єктами туристичної інфраструктури, власниками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користувачами туристичних закладів сформувала робочу групу для здійснення фотографування закладів готельно-ресторанного бізнесу, закладів розміщення, вбиралень, підходів, входів до будівель, наявності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маркування тощо (березень 2024 року).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територіальній громаді проведено круглий стіл «Вікно у світ для осіб з обмеженими можливостями!» (18.03.2024).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Представники сфери туризму, суб’єкти господарювання, які надають послуги з тимчасового розміщення (проживання), харчування, інші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уб’єкти туристичної діяльності долучилися до лекції на тему: «Основи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спілкування для закладів гостинності» 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Міністерства розвитку громад, територій та інфраструктури України (25.04.2024). Також  пройшли курси та отримано 14 сертифі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катів представниками сфери туризму, суб’єкти господарювання, які надають послуги з тимчасового розміщення (проживання), харчування, інші суб’єкти туристичної діяльності на теми: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галузі гостинності» 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грамотність» на 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Дія.Освіта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Ніжинській територіальній громаді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травня 2024 року триває реалізація туристичного екскурсійного маршруту «Місто на дотик» (екскурсовод – науковий співробітник, особа з інвалідністю).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інформувати про проведені заходи та про важливість створення фізичної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сайті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важливість створення фізичної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розміщується на сайті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https://dkult.cg.gov.ua/index.php?id=38659&amp;tp=1&amp;pg=</w:t>
            </w:r>
          </w:p>
          <w:p w:rsidR="003B0859" w:rsidRDefault="003B0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проведення циклу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«Чернігівський регіональний центр підвищення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кваліфікації» (у порядку рекомендації),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підготовки та проведення циклу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недискримінації було складено графіки.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 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3B0859" w:rsidRDefault="008609C5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педагогічної ради щодо створення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освітнього простору коледжу засобами інформаційно-комунікативних технологій на прикладі здобувачів освіти,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навчаються за межами країни. </w:t>
            </w:r>
          </w:p>
          <w:p w:rsidR="003B0859" w:rsidRDefault="008609C5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29.05.2024 проведено засідання педагогічної ради щодо підвищення кваліфікації викладачів та опанування додаткових компетентностей при створенні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освітнього простору коледжу.</w:t>
            </w:r>
          </w:p>
          <w:p w:rsidR="003B0859" w:rsidRDefault="008609C5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09.09.2024 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«Година спілкування – як організувати комфортне середовище у студентському колективі».</w:t>
            </w:r>
          </w:p>
          <w:p w:rsidR="003B0859" w:rsidRDefault="008609C5">
            <w:pPr>
              <w:spacing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23.09.2024 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«Година спілкування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–Безбар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чому це стосується кожного».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10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2. Інформаційна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великошрифтовий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друк,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аудіодискрипція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тифлокоментування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), переклад жестовою мов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2.1.: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3B0859">
        <w:trPr>
          <w:gridAfter w:val="1"/>
          <w:wAfter w:w="14" w:type="dxa"/>
          <w:trHeight w:val="25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задоволення інформаційних потреб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оплату послуг з перекладу жестовою мовою інформаційних, соціальних тощо телепередач філії ПАТ «НСТУ» «Чернігівська регіональна дирекція»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вська обласна організація Українського товариства глухих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Впродовж  9 місяців 2024 року  забезпечено оплату послуг з перекладу жестовою мовою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телпередач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філії АТ «НСТУ» «Чернігівська регіональна дирекція»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загальну суму                          26,6 тис.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загальний хронометраж перекладених передач – 781 хв.</w:t>
            </w:r>
          </w:p>
          <w:p w:rsidR="003B0859" w:rsidRDefault="008609C5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зв’язку зі змінами у сітці мовлення телеканалів АТ «НСТУ» наразі  переклад жестовою мовою більшості телепередач забезпечується централізовано,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штом суспільного мовника.</w:t>
            </w:r>
          </w:p>
          <w:p w:rsidR="003B0859" w:rsidRDefault="003B0859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створити фонд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аудіозаписів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творів письменників Чернігівщини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сьогодні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аудійовано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творів, загальним хронометражем близько 42 годин, які розміщені на офіційних сайтах обласних бібліотек та платформі MЕГОГО.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Так, КЗ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Василь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Чухліб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ведмедів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збірка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молодшого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Ткач «Анюта».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3.Андрій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Кокотюха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«Як стати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чарівником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</w:t>
            </w:r>
          </w:p>
          <w:p w:rsidR="003B0859" w:rsidRDefault="008609C5">
            <w:pPr>
              <w:spacing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5" w:tooltip="https://youtu.be/3BDAyPAe00A" w:history="1"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https://youtu.be/3BDA</w:t>
              </w:r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yPAe00A</w:t>
              </w:r>
            </w:hyperlink>
          </w:p>
          <w:p w:rsidR="003B0859" w:rsidRDefault="008609C5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youtu.be/NbtzFo9djIE" w:history="1"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https://youtu.be/NbtzFo9djIE</w:t>
              </w:r>
            </w:hyperlink>
          </w:p>
          <w:p w:rsidR="003B0859" w:rsidRDefault="008609C5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youtu.be/nMG6WthUvJA" w:history="1"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https://youtu.be/nMG6WthUvJA</w:t>
              </w:r>
            </w:hyperlink>
          </w:p>
          <w:p w:rsidR="003B0859" w:rsidRDefault="008609C5">
            <w:pPr>
              <w:spacing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8" w:tooltip="https://youtu.be/xAQWaypY29w" w:history="1"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https://youtu.be/xAQWaypY29w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B0859" w:rsidRDefault="003B0859">
            <w:pPr>
              <w:spacing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1.Збірка новел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Розшукується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дракон».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Терещенко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2.«Нескорена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 Авторство: ТОВ «ЧЕЛАЙН МЕДІА ГРУП»;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3.Збірка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віршів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Босоніж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снігах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травах».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білогура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Метелики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Ганна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-Баран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3B0859" w:rsidRDefault="008609C5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1. </w:t>
            </w:r>
            <w:hyperlink r:id="rId19" w:tooltip="https://www.youtube.com/watch?v=8YTSZza8nas&amp;list=PLKdPbaHB3uoZbR1IYHFuLiSnFO4TuwUWs&amp;index=22" w:history="1"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https://www.youtube.com/watch?v=8YTSZza8nas&amp;list=PL</w:t>
              </w:r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KdPbaHB3uoZbR1IYHFuLiSnFO4TuwUWs&amp;index=22</w:t>
              </w:r>
            </w:hyperlink>
          </w:p>
          <w:p w:rsidR="003B0859" w:rsidRDefault="008609C5">
            <w:pPr>
              <w:spacing w:line="240" w:lineRule="auto"/>
              <w:ind w:firstLine="340"/>
              <w:jc w:val="both"/>
            </w:pPr>
            <w:r>
              <w:t>2. </w:t>
            </w:r>
            <w:hyperlink r:id="rId20" w:tooltip="https://www.youtube.com/watch?v=HuR3fVTVTTk&amp;list=PLKdPbaHB3uoZbR1IYHFuLiSnFO4TuwUWs&amp;index=19" w:history="1"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</w:rPr>
                <w:t>s://www.youtube.com/watch?v=HuR3fVTVTTk&amp;list=PLKdPbaHB3uoZbR1IYHFuLiSnFO4TuwUWs&amp;index=19</w:t>
              </w:r>
            </w:hyperlink>
          </w:p>
          <w:p w:rsidR="003B0859" w:rsidRDefault="003B0859">
            <w:pPr>
              <w:spacing w:line="240" w:lineRule="auto"/>
              <w:ind w:firstLine="340"/>
              <w:jc w:val="both"/>
            </w:pPr>
          </w:p>
          <w:p w:rsidR="003B0859" w:rsidRDefault="008609C5">
            <w:pPr>
              <w:spacing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«Чернігівська обласна універсальна наукова бібліотека імені Софії та Олександра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3B0859" w:rsidRDefault="008609C5">
            <w:pPr>
              <w:pStyle w:val="aff2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Мастєрова</w:t>
            </w:r>
            <w:proofErr w:type="spellEnd"/>
            <w:r>
              <w:rPr>
                <w:sz w:val="24"/>
                <w:szCs w:val="24"/>
              </w:rPr>
              <w:t xml:space="preserve"> В. М. «</w:t>
            </w:r>
            <w:proofErr w:type="spellStart"/>
            <w:r>
              <w:rPr>
                <w:sz w:val="24"/>
                <w:szCs w:val="24"/>
              </w:rPr>
              <w:t>Суча</w:t>
            </w:r>
            <w:proofErr w:type="spellEnd"/>
            <w:r>
              <w:rPr>
                <w:sz w:val="24"/>
                <w:szCs w:val="24"/>
              </w:rPr>
              <w:t xml:space="preserve"> дочка».</w:t>
            </w:r>
          </w:p>
          <w:p w:rsidR="003B0859" w:rsidRDefault="008609C5">
            <w:pPr>
              <w:pStyle w:val="aff2"/>
              <w:numPr>
                <w:ilvl w:val="0"/>
                <w:numId w:val="9"/>
              </w:numPr>
              <w:ind w:left="0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Михайленко «Солодкий смак».</w:t>
            </w:r>
          </w:p>
          <w:p w:rsidR="003B0859" w:rsidRDefault="008609C5">
            <w:pPr>
              <w:pStyle w:val="aff2"/>
              <w:ind w:left="0"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Офіційний канал бібліотеки: </w:t>
            </w:r>
          </w:p>
          <w:p w:rsidR="003B0859" w:rsidRDefault="008609C5">
            <w:pPr>
              <w:pStyle w:val="aff2"/>
              <w:ind w:left="0" w:firstLine="340"/>
              <w:jc w:val="both"/>
              <w:rPr>
                <w:sz w:val="24"/>
                <w:szCs w:val="24"/>
              </w:rPr>
            </w:pPr>
            <w:hyperlink r:id="rId21" w:tooltip="https://griml.com/4wR1Y" w:history="1">
              <w:r>
                <w:rPr>
                  <w:rStyle w:val="aff4"/>
                  <w:color w:val="auto"/>
                  <w:sz w:val="24"/>
                  <w:szCs w:val="24"/>
                </w:rPr>
                <w:t>https://griml.com/4wR1Y</w:t>
              </w:r>
            </w:hyperlink>
            <w:r>
              <w:rPr>
                <w:sz w:val="24"/>
                <w:szCs w:val="24"/>
              </w:rPr>
              <w:t>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2.2 : інформація, необхідна для забезпечення щоденних потреб громадян, є доступною та актуальною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6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постійний аналіз виконання Національної стратегії із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 на період                     до 2030 року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надання інформації Департаменту інформаційної діяльності та зв’язків з громадськістю обласно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 державної адміністрації про виконання заходів та завдань, визначених Обласним планом заходів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виконання завдань та заходів, визначених Облас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ним планом заходів на 2023-2024 роки з реалізації Національної стратегії зі створення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простору в Україні до 2030 року, розміщується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офіціному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сайті обласної державної адміністрації в рубриці «Для громадськості», підрубриці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https://cg.gov.ua/index.php?id=39098&amp;tp=1).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оприлюднити на офіційному сайті обласної державної адміністрації  інформацію про виконання кожного завершеного заходу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обласної державної адміністрації, структурні підрозділи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3B0859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3B0859">
            <w:pPr>
              <w:spacing w:line="240" w:lineRule="auto"/>
              <w:ind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6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інформаційну кампанію «Україна без бар’єрів»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інформаційні матеріали у рамках інформаційно-просвітницької кампанії «Україна без бар’єрів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обласної державної адміністрації у розділі «Для громадськості» створено рубрику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де розміщено короткі відомості: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 Національну стратегію із створення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простору в України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період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2030 року;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обласний план заходів на 2023-2024 роки з її реалізації та його виконання, посилення на раніше надані інформаційні матеріали;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альбом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єрних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рішень;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довідник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освітній серіал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грамотність»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подій».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Відповідні розділи створені також на офіційних сайтах структурних підрозділів обласної державної адміністрації: Департаменту соціального захисту населення, Департаменту з питань цивільного захисту та оборонної роботи, управлінн</w:t>
            </w:r>
            <w:r>
              <w:rPr>
                <w:rFonts w:ascii="Times New Roman" w:hAnsi="Times New Roman"/>
                <w:sz w:val="24"/>
                <w:szCs w:val="24"/>
              </w:rPr>
              <w:t>я освіти та науки, управління охорони здоров'я.</w:t>
            </w:r>
          </w:p>
          <w:p w:rsidR="003B0859" w:rsidRDefault="008609C5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Окрім того, 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обласної військової  адміністрації, а також на її офіційних сторінках у соціальних мережах впродовж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півріччя 2024 року були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оприлюдені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повідомлення про компенсацію за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штування робочих місць для осіб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інвалідіінстю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розширення функціоналу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онлайн-мапи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сервісів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Швидкодопомога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передачу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мікроавтобува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Березнянському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навчально-реабілітаційному центру від Фундації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», професійне навчання для учасників бойових дій  т</w:t>
            </w:r>
            <w:r>
              <w:rPr>
                <w:rFonts w:ascii="Times New Roman" w:hAnsi="Times New Roman"/>
                <w:sz w:val="24"/>
                <w:szCs w:val="24"/>
              </w:rPr>
              <w:t>а людей з інвалідністю внаслідок війни, безоплатне протезування для людей з інвалідністю, освітній серіал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галузі гостинності»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платформія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Дія.Освіта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автошколи для людей з інвалідністю, мобільний підрозділ АТ «Ощадбанк»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мешканців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прифронтових територій, заплановане у травні відкриття стаціонарного відділення цілодобового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перебцування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осіб з інвалідністю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громаді.  </w:t>
            </w:r>
          </w:p>
          <w:p w:rsidR="003B0859" w:rsidRDefault="008609C5">
            <w:pPr>
              <w:pStyle w:val="3"/>
              <w:spacing w:before="0"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Також,  поширювалася інформація про: створення центрів життєстійкості в громадах області, як підтр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имати ментальне здоров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– очима дітей,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фізкультурно-озлоровчий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забіг в раках програми «Активні парки», підтримку ментального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ветеранів,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роботу аптек на колесах,  День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спільнодії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задля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ментального здоров’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я дітей, про ветеранську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’є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соціальні послуги що надаються на Чернігівщині.</w:t>
            </w:r>
          </w:p>
          <w:p w:rsidR="003B0859" w:rsidRDefault="008609C5">
            <w:pPr>
              <w:pStyle w:val="3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Проінформовано населення про відкриття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Чернігові прост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психосоціальної підтримки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Дбаю про себе»,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відкриття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майданчик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для якісної комунікації та інтеграції в цивільне життя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області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про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закупівлю шести «соціальних таксі» для громад Чернігівської області,  про грантові програми, навчання, підвищення кваліфікації та розвиток власної справи -  послуги для ветеранів війни, що пропонує обласна служба зайнятості.</w:t>
            </w:r>
          </w:p>
          <w:p w:rsidR="003B0859" w:rsidRDefault="003B0859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Здійснено заходи щодо доступу до отримання медичних послуг для осіб з порушеннями слуху та мовлення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прийняти у штат закладу охорони здоров’я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сурдоперекладача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заключити договір з підприємством «УТОГ»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hd w:val="clear" w:color="auto" w:fill="FFFFFF" w:themeFill="background1"/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закладів охорони здоров’я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заключити договір з підприємством «УТОГ».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1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3.1.: швидкісний Інтернет та засоби доступу доступні для всіх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заклади охорони здоров’я та центри соціально-психологічної реабілітації дітей доступом до швидкісного Інтернету та засобами доступу до нього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left="-2" w:right="57" w:firstLine="14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в центрах соціально-психологічної  реабілітації дітей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равах дітей обласної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 частково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Один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соціально-психологічної  реабілітації дітей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знаходиться на стадії ремонту. 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іншому закладі проведений кабельний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доступ до Інтернету стандарту 4G на прикордонних населених пунктах</w:t>
            </w:r>
          </w:p>
          <w:p w:rsidR="003B0859" w:rsidRDefault="003B0859">
            <w:pPr>
              <w:spacing w:line="240" w:lineRule="auto"/>
              <w:ind w:firstLine="41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заходи з розміщення додаткових базових станцій операторами мобільного зв’язку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енергоефективності, транспорту, зв’язку та житлово-комунального господарства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-100" w:firstLine="4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2024 році додатково запущено 62 базові станції.</w:t>
            </w:r>
          </w:p>
          <w:p w:rsidR="003B0859" w:rsidRDefault="008609C5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Україна» введено в експлуатацію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базових станцій                              (м. Чернігів,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с-ще Козелець,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Максим,          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Ладівщина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.Голубівка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м. Ніжин, м. 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Остер, м. Бахмач,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Політрудня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В.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Зліїв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Верба).</w:t>
            </w:r>
          </w:p>
          <w:p w:rsidR="003B0859" w:rsidRDefault="008609C5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побудовано та введено в експлуатацію 27 базових станцій                           (м. Чернігів – 2 од., м. Ніжин, м. Бахмач,                с.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убанка,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 с. Івангород,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с. Ярославка,  с. Красне, с. Лемеші,                         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Покошичі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          с. М.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Сокиринці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Кладьківка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Манжосівка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Бобровиця,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Смяч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Дякова, с. Городище).</w:t>
            </w:r>
          </w:p>
          <w:p w:rsidR="003B0859" w:rsidRDefault="008609C5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додатково побудовано та введено в експлуатацію 16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цій                      (м. Чернігів – 4, м. Прилуки – 2, м. Ніжин,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Десна,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с.Неданчичі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Єрків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Лихолітки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Вопивзів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забарівка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необхідним програмним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безпеченням та засобами доступу до Інтернету осіб з інвалідністю, закладів освіти та культури, бібліотек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населених пунктів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бібліотеки комп'ютерними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  <w:tc>
          <w:tcPr>
            <w:tcW w:w="2023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пошук благодійників для забезпечення бібліотек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859">
        <w:trPr>
          <w:gridAfter w:val="1"/>
          <w:wAfter w:w="14" w:type="dxa"/>
          <w:trHeight w:val="381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бібліотеки засобами доступу до Інтернету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моніторингу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встановлено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: 197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Чернігівській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651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комп’ютер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з них 171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(543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комп’ютери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доступ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:rsidR="003B0859" w:rsidRDefault="008609C5">
            <w:pPr>
              <w:spacing w:line="240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доступу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здійснюється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зарахунок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благодійних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власних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:rsidR="003B0859" w:rsidRDefault="008609C5">
            <w:pPr>
              <w:spacing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Бібліотеки у закладах вищої та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мають засобами доступу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4.1.: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заходи щодо впровадження практик та механізмів соціальної та громадської участі, зокрема щодо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проведення заходів молодіжної роботи з охопленням молоді з інвалідністю та молоді з числа внутрішньо переміщен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осіб, які постраждали внаслідок війни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адміністрації,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tabs>
                <w:tab w:val="left" w:pos="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Організовано заходи молодіжної роботи з охопленням молоді з інвалідністю та молоді з числа внутрішньо переміщених осіб, які постраждали внаслідок війни.</w:t>
            </w:r>
          </w:p>
          <w:p w:rsidR="003B0859" w:rsidRDefault="003B0859">
            <w:pPr>
              <w:spacing w:line="240" w:lineRule="auto"/>
              <w:ind w:firstLine="4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заходи молодіжної роботи з охопленням молоді з інвалідністю та молоді з числа внутрішньо переміщених осіб, яка постраждала внаслідок війни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адміністрації, комунальна установа «Чернігівський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асний молодіжний центр» Чернігівської обласної ради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року відбулася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громад)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релокації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центру.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відбувся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«ТРИМАЙ»,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фондом ООН (ЮНІСЕФ)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партнерстві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YouthUp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Німецького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KfW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напрацювання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ініціатив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вирішенню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 та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Чернігівським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центром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ініціативної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«СФЕРА МОЛОДІ»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звільнених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ІСАР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«Партнерство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активу з громад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залучення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громадах.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напрацьовані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-виховні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 різними категоріями молоді, у т.ч. особами з інвалідністю та молоді з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внутрішньо переміщених осіб, для її залучення до громадянського та політичного життя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центр»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обласної ради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pStyle w:val="docy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04.01.2024 відбувся </w:t>
            </w:r>
            <w:proofErr w:type="spellStart"/>
            <w:r>
              <w:rPr>
                <w:lang w:val="uk-UA"/>
              </w:rPr>
              <w:t>ідеятон</w:t>
            </w:r>
            <w:proofErr w:type="spellEnd"/>
            <w:r>
              <w:rPr>
                <w:lang w:val="uk-UA"/>
              </w:rPr>
              <w:t xml:space="preserve">  «</w:t>
            </w:r>
            <w:proofErr w:type="spellStart"/>
            <w:r>
              <w:rPr>
                <w:lang w:val="uk-UA"/>
              </w:rPr>
              <w:t>Ідеї.Молодь.Дії</w:t>
            </w:r>
            <w:proofErr w:type="spellEnd"/>
            <w:r>
              <w:rPr>
                <w:lang w:val="uk-UA"/>
              </w:rPr>
              <w:t xml:space="preserve">» в межах проекту «Чернігівська обласна підтримка молоді», який є частиною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t> </w:t>
            </w:r>
            <w:r>
              <w:rPr>
                <w:lang w:val="uk-UA"/>
              </w:rPr>
              <w:t xml:space="preserve">«Зміцнення громадської довіри в Україні» - </w:t>
            </w:r>
            <w:r>
              <w:t>UCBI</w:t>
            </w:r>
            <w:r>
              <w:rPr>
                <w:lang w:val="uk-UA"/>
              </w:rPr>
              <w:t xml:space="preserve">, що підтримує Агентство США з міжнародного розвитку </w:t>
            </w:r>
            <w:r>
              <w:t>USAID</w:t>
            </w:r>
            <w:r>
              <w:rPr>
                <w:lang w:val="uk-UA"/>
              </w:rPr>
              <w:t xml:space="preserve"> </w:t>
            </w:r>
            <w:proofErr w:type="spellStart"/>
            <w:r>
              <w:t>Ukraine</w:t>
            </w:r>
            <w:proofErr w:type="spellEnd"/>
            <w:r>
              <w:rPr>
                <w:lang w:val="uk-UA"/>
              </w:rPr>
              <w:t xml:space="preserve"> - </w:t>
            </w:r>
            <w:r>
              <w:t>USAID</w:t>
            </w:r>
            <w:r>
              <w:rPr>
                <w:lang w:val="uk-UA"/>
              </w:rPr>
              <w:t xml:space="preserve"> Україна.</w:t>
            </w:r>
          </w:p>
          <w:p w:rsidR="003B0859" w:rsidRDefault="008609C5">
            <w:pPr>
              <w:pStyle w:val="aff6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>
              <w:t xml:space="preserve">15 команд з 15 громад </w:t>
            </w:r>
            <w:proofErr w:type="spellStart"/>
            <w:r>
              <w:t>Чернігівської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представили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  <w:proofErr w:type="spellStart"/>
            <w:r>
              <w:t>задля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на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.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обрано</w:t>
            </w:r>
            <w:proofErr w:type="spellEnd"/>
            <w:r>
              <w:t xml:space="preserve"> 10 </w:t>
            </w:r>
            <w:proofErr w:type="spellStart"/>
            <w:r>
              <w:t>фіналістів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отримали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ресурси</w:t>
            </w:r>
            <w:proofErr w:type="spellEnd"/>
            <w:r>
              <w:t xml:space="preserve"> для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>.</w:t>
            </w:r>
          </w:p>
          <w:p w:rsidR="003B0859" w:rsidRDefault="003B0859">
            <w:pPr>
              <w:pStyle w:val="aff2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тренінги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Надано 7 консультацій представникам територіальних громад щодо створення молодіжних рад, залучення осіб з інвалідністю та внутрішньо переміщених осіб до участі у процесах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ухавленнь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рішень.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проведення інформаційно-просвітницьких заходів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облдержадміністрації, комунальна установа «Чернігі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вський обласний молодіжний центр» Чернігівської обласної ради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pStyle w:val="aff2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Підготовлено проведення </w:t>
            </w:r>
            <w:r>
              <w:rPr>
                <w:sz w:val="24"/>
                <w:szCs w:val="24"/>
              </w:rPr>
              <w:t>інформаційно-просвітницьких заходів для молоді стосовно інструментів участі молоді у громадянському та політичному житті в рамках проекту «Дорослі ігри», що реалізувався за підтримки Британської Ради в Україні спільно з ГО «Лабораторія Ініціативної Молоді»</w:t>
            </w:r>
            <w:r>
              <w:rPr>
                <w:sz w:val="24"/>
                <w:szCs w:val="24"/>
              </w:rPr>
              <w:t>.</w:t>
            </w:r>
          </w:p>
          <w:p w:rsidR="003B0859" w:rsidRDefault="008609C5">
            <w:pPr>
              <w:spacing w:line="228" w:lineRule="auto"/>
              <w:ind w:firstLine="567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проведення інформаційно-просвітницьких заходів для молоді стосовно інструментів участі молоді у громадянському та політичному житті. Зокрема,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 «Чернігівський обласний молодіжний центр» ЧОР спільно з ГО «Сфера молоді» за сприяння Програми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звитку ООН (ПРООН) в Україні за фінансової підтримки Європейського Союзу, наданої в межах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«EU4Recovery – Розширення можливостей громад в Україні» проведено навчання «Менеджмент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громадах Чернігівської області» для семи громад Чернігів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щини.</w:t>
            </w:r>
          </w:p>
        </w:tc>
      </w:tr>
      <w:tr w:rsidR="003B0859">
        <w:trPr>
          <w:trHeight w:val="1351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інформаційно-просвітницькі заходи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3B0859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поширення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ідеї демократичної участі в громадському та політичному житті молоді, в рамках проекту «Дорослі ігри», що реалізувався за підтримки Британської Ради в Україні спільно з ГО «Лабораторія Ініціативної Молоді» та Ніжинським міським молодіжним центром, протягом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кварталу 2024 року проведено марафон настільних ігор з демократії. Кожна з ігор - «Країна гідності», «Світ громад» та «Демократія» сприяла підвищенню знань про демократичні процеси та розвитку у молоді навиків дебатів та комунікації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травня 2024 року відбулась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нетворкінгова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зустріч «Молодь разом». Метою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 сприяння обміну ідеями, досвідом та ресурсами між молодіжними працівниками, активною молоддю Чернігівської області та внутрішньо переміщеними особами з метою підвище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 ефективності програм та проєктів, спрямованих на інтеграцію та підтримку переселенців.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період з 10-14 червня 2024 року відбувся молодіжний обмін програми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UA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у селищі Ріпки Чернігівської області. 30 молодих людей, зокрема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числа внутрішньо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переміщених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осіб,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різних регіонів України зібралися, щоб зробити свій внесок у відбудову нашої країни та познайомитися з унікальною культурою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Ріпкинської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направлений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вже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існуючого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молодіжного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простору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Ріпкинській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громаді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B0859" w:rsidRDefault="008609C5">
            <w:pPr>
              <w:spacing w:line="228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 липня 2024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реалізовано захід «Культ-Толока» для 20 молодих представників та представниць громад Чернігівської області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Чернігівського обласного молодіжного центру. В рамках заходу для учасників та учасниць толоки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едено динамічні командо утворюючі тренінги, практичні навчальні сесії. Молодь створила масштабний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арт-обʼєкт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вуличній стіні простору та організували на подвір’ї імпровізовану сцену. Міні ініціативу реалізовано ГО «Сфера Молоді» та UNDP за фінансової 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тримки Європейського Союзу, наданої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«EU4Recovery — Розширення можливостей громад в Україні».</w:t>
            </w:r>
          </w:p>
          <w:p w:rsidR="003B0859" w:rsidRDefault="008609C5">
            <w:pPr>
              <w:pStyle w:val="3882"/>
              <w:numPr>
                <w:ilvl w:val="1"/>
                <w:numId w:val="10"/>
              </w:numPr>
              <w:tabs>
                <w:tab w:val="left" w:pos="993"/>
              </w:tabs>
              <w:spacing w:before="0" w:beforeAutospacing="0" w:after="0" w:afterAutospacing="0" w:line="228" w:lineRule="auto"/>
              <w:ind w:left="0" w:firstLine="325"/>
              <w:jc w:val="both"/>
              <w:rPr>
                <w:color w:val="000000"/>
                <w:spacing w:val="-6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липня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2024 року                               КУ «Чернігівський обласний молодіжний центр» ЧОР в рамках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проєкту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«ДРІМ 2.0» (Дієва робота ініціативн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ої молоді), що впроваджується ГО «СФЕРА МОЛОДІ» в межах грантового конкурсу «Посилення громадської участі в процесах раннього відновлення на звільнених територіях», який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адмініструється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ІСАР «Єднання» за підтримки Фонду «Партнерство за сильну Україну», що </w:t>
            </w:r>
            <w:r>
              <w:rPr>
                <w:color w:val="000000"/>
                <w:shd w:val="clear" w:color="auto" w:fill="FFFFFF"/>
                <w:lang w:val="uk-UA"/>
              </w:rPr>
              <w:t>фінансується країнами партнерами, організовано та проведено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регіональний Форум «Діалог. Співпраця. </w:t>
            </w:r>
            <w:r>
              <w:rPr>
                <w:color w:val="000000"/>
                <w:spacing w:val="-6"/>
                <w:shd w:val="clear" w:color="auto" w:fill="FFFFFF"/>
                <w:lang w:val="uk-UA"/>
              </w:rPr>
              <w:t>Відновлення».</w:t>
            </w:r>
            <w:r>
              <w:rPr>
                <w:color w:val="000000"/>
                <w:spacing w:val="-6"/>
                <w:shd w:val="clear" w:color="auto" w:fill="FFFFFF"/>
              </w:rPr>
              <w:t> </w:t>
            </w:r>
            <w:r>
              <w:rPr>
                <w:color w:val="000000"/>
                <w:spacing w:val="-6"/>
                <w:shd w:val="clear" w:color="auto" w:fill="FFFFFF"/>
                <w:lang w:val="uk-UA"/>
              </w:rPr>
              <w:t xml:space="preserve">Під час </w:t>
            </w:r>
            <w:r>
              <w:rPr>
                <w:color w:val="000000"/>
                <w:spacing w:val="-6"/>
                <w:shd w:val="clear" w:color="auto" w:fill="FFFFFF"/>
                <w:lang w:val="uk-UA"/>
              </w:rPr>
              <w:lastRenderedPageBreak/>
              <w:t xml:space="preserve">регіонального Форуму обговорено ефективні механізми </w:t>
            </w:r>
            <w:proofErr w:type="spellStart"/>
            <w:r>
              <w:rPr>
                <w:color w:val="000000"/>
                <w:spacing w:val="-6"/>
                <w:shd w:val="clear" w:color="auto" w:fill="FFFFFF"/>
                <w:lang w:val="uk-UA"/>
              </w:rPr>
              <w:t>включеності</w:t>
            </w:r>
            <w:proofErr w:type="spellEnd"/>
            <w:r>
              <w:rPr>
                <w:color w:val="000000"/>
                <w:spacing w:val="-6"/>
                <w:shd w:val="clear" w:color="auto" w:fill="FFFFFF"/>
                <w:lang w:val="uk-UA"/>
              </w:rPr>
              <w:t xml:space="preserve"> молоді до процесів відновлення громад, представлені результати дослідже</w:t>
            </w:r>
            <w:r>
              <w:rPr>
                <w:color w:val="000000"/>
                <w:spacing w:val="-6"/>
                <w:shd w:val="clear" w:color="auto" w:fill="FFFFFF"/>
                <w:lang w:val="uk-UA"/>
              </w:rPr>
              <w:t xml:space="preserve">ння рівня </w:t>
            </w:r>
            <w:proofErr w:type="spellStart"/>
            <w:r>
              <w:rPr>
                <w:color w:val="000000"/>
                <w:spacing w:val="-6"/>
                <w:shd w:val="clear" w:color="auto" w:fill="FFFFFF"/>
                <w:lang w:val="uk-UA"/>
              </w:rPr>
              <w:t>включеності</w:t>
            </w:r>
            <w:proofErr w:type="spellEnd"/>
            <w:r>
              <w:rPr>
                <w:color w:val="000000"/>
                <w:spacing w:val="-6"/>
                <w:shd w:val="clear" w:color="auto" w:fill="FFFFFF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spacing w:val="-6"/>
                <w:shd w:val="clear" w:color="auto" w:fill="FFFFFF"/>
                <w:lang w:val="uk-UA"/>
              </w:rPr>
              <w:t>залученості</w:t>
            </w:r>
            <w:proofErr w:type="spellEnd"/>
            <w:r>
              <w:rPr>
                <w:color w:val="000000"/>
                <w:spacing w:val="-6"/>
                <w:shd w:val="clear" w:color="auto" w:fill="FFFFFF"/>
                <w:lang w:val="uk-UA"/>
              </w:rPr>
              <w:t xml:space="preserve"> молоді до процесів відновлення, а також рекомендації, спрямовані на відновлення та розвиток громад Чернігівщини.</w:t>
            </w:r>
          </w:p>
          <w:p w:rsidR="003B0859" w:rsidRDefault="008609C5">
            <w:pPr>
              <w:pStyle w:val="3882"/>
              <w:tabs>
                <w:tab w:val="left" w:pos="993"/>
              </w:tabs>
              <w:spacing w:before="0" w:beforeAutospacing="0" w:after="0" w:afterAutospacing="0" w:line="228" w:lineRule="auto"/>
              <w:ind w:firstLine="325"/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12 серпня 2024 року </w:t>
            </w:r>
            <w:r>
              <w:rPr>
                <w:shd w:val="clear" w:color="auto" w:fill="FFFFFF"/>
                <w:lang w:val="uk-UA"/>
              </w:rPr>
              <w:t xml:space="preserve">проведено захід </w:t>
            </w:r>
            <w:r>
              <w:rPr>
                <w:lang w:val="uk-UA"/>
              </w:rPr>
              <w:t>до Дня молоді «</w:t>
            </w:r>
            <w:proofErr w:type="spellStart"/>
            <w:r>
              <w:rPr>
                <w:lang w:val="uk-UA"/>
              </w:rPr>
              <w:t>Здибанка</w:t>
            </w:r>
            <w:proofErr w:type="spellEnd"/>
            <w:r>
              <w:rPr>
                <w:lang w:val="uk-UA"/>
              </w:rPr>
              <w:t xml:space="preserve"> 4 </w:t>
            </w:r>
            <w:proofErr w:type="spellStart"/>
            <w:r>
              <w:t>youth</w:t>
            </w:r>
            <w:proofErr w:type="spellEnd"/>
            <w:r>
              <w:rPr>
                <w:lang w:val="uk-UA"/>
              </w:rPr>
              <w:t xml:space="preserve">». Захід сприяв </w:t>
            </w:r>
            <w:r>
              <w:rPr>
                <w:bCs/>
                <w:lang w:val="uk-UA"/>
              </w:rPr>
              <w:t>активізації молодіжного</w:t>
            </w:r>
            <w:r>
              <w:rPr>
                <w:bCs/>
                <w:lang w:val="uk-UA"/>
              </w:rPr>
              <w:t xml:space="preserve"> руху</w:t>
            </w:r>
            <w:r>
              <w:rPr>
                <w:lang w:val="uk-UA"/>
              </w:rPr>
              <w:t>, збільшенню кількості молодих людей, залучених до соціально важливих ініціатив та проектів у своїх громадах; формуванню нових зв’язків між учасниками, що сприяє подальшій співпраці та обміну досвідом серед молоді з різних громад; підвищенню мотивації</w:t>
            </w:r>
            <w:r>
              <w:rPr>
                <w:lang w:val="uk-UA"/>
              </w:rPr>
              <w:t xml:space="preserve"> молоді до участі в громадському житті та активного впливу на процеси, що відбуваються у суспільстві; поширенню серед молоді інтересу до національної культури та творчості, сприяв розвитку їхніх художніх здібностей.</w:t>
            </w:r>
          </w:p>
          <w:p w:rsidR="003B0859" w:rsidRDefault="008609C5">
            <w:pPr>
              <w:spacing w:line="228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Впродовж серпня 2024 року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роведено навчання «Менеджмент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громадах Чернігівської області» для семи громад Чернігівщини.</w:t>
            </w:r>
          </w:p>
          <w:p w:rsidR="003B0859" w:rsidRDefault="008609C5">
            <w:pPr>
              <w:spacing w:line="228" w:lineRule="auto"/>
              <w:ind w:firstLine="325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 час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тренінгових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навчань були обговорені та надані теоретичні інструменти з розробки локальних програм/стратегій розвитку та підтримки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Завдяки опрацьованим інструментам командами цільових громад буде розроблено 7 документів для впровадження програм підтримки та розвитку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. Це дасть змогу утвердити потужний розвиток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та зробити його постійним діючим рухом, а також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підтримати зусилля активістів та активісток в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цих напрямках, адже волонтерська діяльність в територіальних громадах дозволяє ефективно розв'язувати най загальніші проблеми в короткі терміни.</w:t>
            </w:r>
          </w:p>
          <w:p w:rsidR="003B0859" w:rsidRDefault="008609C5">
            <w:pPr>
              <w:spacing w:line="228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Навчання стануть основою для розвитку локальних волонтерських 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іціатив. Завдяки знанням та навичкам, отриманим під час навчання,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вмотивовані команди розроблять план сталої роботи з волонтерами в Чернігівській, Ніжинській, Прилуцькій, Іванівській,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Ріпкинській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, Михайло-Коцюбинській,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Городнянській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громадах з подальшим ан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алізом та удосконаленням.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Організовано роботу по наданню допомоги батькам, прийомним сім’ям, дитячим будинкам сімейного типу, опікунам, патронатним родинам, а також родинам, які опинились в складних життєвих обставинах та дітям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«Телефону довіри» при Чернігівському центрі соціально-психологічної реабілітації дітей для надання консультацій дітям та батькам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центр соціально-психологічної реабіл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ітації дітей                    (у порядку рекомендації)</w:t>
            </w:r>
          </w:p>
          <w:p w:rsidR="003B0859" w:rsidRDefault="003B0859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 розпочато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 зв’язку з проведенням ремонтних робіт, діяльність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 «Телефону довіри» призупинена.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діяльність мобільних  бригад для  надання комплексної допомоги прийомним сім’ям, дитячим будинкам сімейного типу, опікунам, патронатним родинам, а також родинам, які опинились в складних життєвих обставинах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через шкоду, завдану бойовими діями,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терористичним актом, збройним конфліктом, тимчасовою окупацією, збройною агресією російської федерації проти України та/або іншої країни проти України та інших причин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Станом на 01.10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.2024 надано комплексну допомогу дітям, батькам та іншим законним представникам (всього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735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особам). Діяльність  мобільної бригади продовжується.</w:t>
            </w:r>
          </w:p>
          <w:p w:rsidR="003B0859" w:rsidRDefault="003B0859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діяльність мобільного інформаційно-консультативного пункту з прав дитини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</w:t>
            </w:r>
          </w:p>
          <w:p w:rsidR="003B0859" w:rsidRDefault="003B0859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Станом на 01.10.2024 здійснено 10 виїздів мобільного інформаційно-консультативного пункту з прав дитини в територіальні громади області.</w:t>
            </w:r>
          </w:p>
        </w:tc>
      </w:tr>
      <w:tr w:rsidR="003B0859">
        <w:trPr>
          <w:gridAfter w:val="1"/>
          <w:wAfter w:w="14" w:type="dxa"/>
          <w:trHeight w:val="375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4.2. держава сприяє підвищенню рівня здоров’я та забезпеченню фізичної активності населення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Здійснено заходи щодо впровадження системи екстреної допомоги населенню за єдиним телефонним номером 112 на всій території області з 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хуванням потреб осіб з інвалідністю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впровадження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екстренної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населенню за єдиним телефонним номером 112 на всій території області з урахуванням потреб осіб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обласної державної адміністрації,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tabs>
                <w:tab w:val="left" w:pos="4320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Чернігівської області з квітня 2024 року впроваджено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систему екстреної допомоги населенню за єдиним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елефонним номером 112.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859" w:rsidRDefault="008609C5">
            <w:pPr>
              <w:tabs>
                <w:tab w:val="left" w:pos="4320"/>
              </w:tabs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урахування потреб осіб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був укладений трьохсторонній договір від 07.12.2023 між КНП «Обласний центр екстреної медичної допомоги та медицини катастроф» ЧОР, Громадською організацією «Всеукраїнська організація осіб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інвалідністю зі слуху» та  Чернігівською обласною організацією Українського товариства глухих «УТОГ» для отримання послуг з перекладу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українську жестову мову (з української жестової мови).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Впроваджено комплексних реабілітаційних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абілітаційних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послуг, спрямованих на підвищення якості життя, активності, працездатності та залучення до усіх форм суспільного життя (переоцінка діючої системи та стандартів реабілітації, імплементація комплексних сучасних підходів)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підготовку до створення в реабілітаційних відділеннях кабінетів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утаціями у закладах охорони здоров'я, визначених в рамках реабілітаційного маршруту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реабілітаційних відділеннях закладів охорони здоров’я області створено 8 кабінетів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технологій  для здійснення підбору, налаштування, виготовлення та навчання користуванню допоміжними засобами реабілітації,  визначених в рамках реабілітаційного маршруту.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надання реабілітаційних послуг за місцем проживання  в рамках розвитку амбулаторної реабілітаційної послуги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розвитку амбулаторної реабілітаційної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луги реабілітаційні послуги за місцем проживання  надані                      378 особам.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Забезпечено розвиток доступних соціальних послуг особам, які постраждали від домашнього насильства; сім'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з дітьми  з інвалідністю та внутрішньо переміщеним сім'ям  (особам)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розвиток системи надання соціальних послуг особам, які постраждалі від домашнього насильства, сім'ям з дітьми та інвалідністю та внутрішньо переміщеним сім'ям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Чернігівський обласний центр соціальних служб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tabs>
                <w:tab w:val="left" w:pos="709"/>
                <w:tab w:val="left" w:pos="7088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повноважень центрами соціальних служб, центрами надання соціальних послуг, фахівцями із соціальної роботи територіальних громад соціальні 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надавались:</w:t>
            </w:r>
          </w:p>
          <w:p w:rsidR="003B0859" w:rsidRDefault="008609C5">
            <w:pPr>
              <w:tabs>
                <w:tab w:val="left" w:pos="709"/>
                <w:tab w:val="left" w:pos="70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сім’ям (в них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дітей), які постраждали від домашнього насильства;</w:t>
            </w:r>
          </w:p>
          <w:p w:rsidR="003B0859" w:rsidRDefault="008609C5">
            <w:pPr>
              <w:tabs>
                <w:tab w:val="left" w:pos="709"/>
                <w:tab w:val="left" w:pos="70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сім’ям  з дітьми (в них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дітей) члени яких мають інвалідність;</w:t>
            </w:r>
          </w:p>
          <w:p w:rsidR="003B0859" w:rsidRDefault="008609C5">
            <w:pPr>
              <w:tabs>
                <w:tab w:val="left" w:pos="709"/>
                <w:tab w:val="left" w:pos="70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сімей ( в них дітей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дітей) внутрішньо переміщені сім’ї та особи. </w:t>
            </w:r>
          </w:p>
          <w:p w:rsidR="003B0859" w:rsidRDefault="008609C5">
            <w:pPr>
              <w:tabs>
                <w:tab w:val="left" w:pos="709"/>
                <w:tab w:val="left" w:pos="7088"/>
              </w:tabs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надання соціальних послуг 12957 сімей отримали психологічну допомогу,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юридичну,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налагодили зв’язки з членами родини/громадою,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сімей вирішено питання щодо поліпшення житлово-побутових умов,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осіб отримали гуманітарну допом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огу. Питання щодо оформлення/відновлення документів вирішено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сім’ях.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Забезпечено захист і безпеку осіб з інвалідністю та інших мало мобільних груп населення в умовах воєнного стану та надзвичайних ситуаціях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виготовлення проектно-кошторисної документації для створення укриттів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інтернатних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закладах системи соціального захисту населення, в яких постійно або тимчасово проживають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(перебувають) особи, які належать до вразливих груп населення або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бувають у складних життєвих обставинах, з урахуванням принципів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дотриманням вимог  містобудівного законодавства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озроблено та здійсн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ено оплату за виготовлення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кошторисних документацій та проходження комплексної експертизи робочих проектів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створення укриттів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інтернатних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закладах системи соціального захисту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Нове будівництво захисної споруди цивільного захисту (протирадіаційне укриття)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Городнянського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психоневрологічного інтернату,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;;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"Нове будівництво захисної споруди цивільного захисту (протирадіаційне укриття) Комунального закладу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Замглайський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психоневроло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гічний інтернат" Чернігівської обласної ради;</w:t>
            </w:r>
          </w:p>
          <w:p w:rsidR="003B0859" w:rsidRDefault="008609C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"Нове будівництво захисної споруди цивільного захисту (протирадіаційне та протихімічне укриття)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Червоненському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психоневрологічному інтернату.</w:t>
            </w:r>
          </w:p>
          <w:p w:rsidR="003B0859" w:rsidRDefault="003B0859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окращено доступ до акушерсько-гінекологічної, терапевтичної, консультативно-медичної допомоги сільському населенню, на територіях територіальних громад яких ускладнено доступ до діагностики та медичних послуг, внутрішньо переміщеним особам,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обмеже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 фізичними можливостями та іншим вразливим групам населення шляхом підтримки діяльності мобільних бригад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населення області до послуг з психіатричної допомоги, яка надається шляхом виїзду мобільних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проведення оглядів з психіатричної допомоги 911 осіб, що надається шляхом виїзду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 населення області до послуг з мобільної паліативної медичної допомоги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онкохворим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хворим після інсульту, хворим з хронічною серцевою недостатністю,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хворим з цукровим діабетом та іншим</w:t>
            </w:r>
          </w:p>
        </w:tc>
        <w:tc>
          <w:tcPr>
            <w:tcW w:w="2129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надання з мобільної паліативної медичної допомоги 2856 особам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онкозахворюванням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хворим після інсульту, хворим з хронічною серцевою недостатністю, хворим з цукровим діабетом та іншим.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Проведено 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</w:t>
            </w:r>
          </w:p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 всіх груп населення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 проведення інформаційної кампанії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129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умовах воєнного часу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няття з оздоровчої рухової активності серед населення, у тому числі осіб з інвалідністю, внутрішньо переміщених осіб, військових та ветеранів війни є актуальним, потужним та ефективним засобом у покращені фізичного та психічного здоров’я населення, а також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зниження психоемоційного напруження, стресу та подолання їх наслідків.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 підготував проведення інформаційної кампанії про важливість спорту для підтримки здоров'я людей зі стійким обмеженням повсякден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3B0859" w:rsidRDefault="003B0859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інформаційну кампанію про важливість спорту для підтримки здоров'я людей зі стійким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обмеженням повсякденн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129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створення умов щодо забезпечення оптимальної рухової активності різних груп населення, в т.ч. учасників війни, учасників бойових дій, осіб з інвалідністю внаслідок війни, членів сімей загиблих (померлих) ветеранів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Захисників та Захисниць України, для зміцнення здоров’я з урахуванням інтересів здібностей та індивідуальних особливостей кожного, Департаментом сім’ї, молоді та спорту облдержадміністрації спільно з фізкультурно-спортивними товариствами, центрами фізичног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здоров’я населення «Спорт для всіх» постійно проводиться активна інформаційно-пропагандистська робота з питань фізичної культури і спорту, здорового способу  життя серед населення через засоби масової інформації, соціальні мережі, соціальну рекламу, друк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овані медіа.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cnsdv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Забезпечено доступ до закладів фізичної культури і спорту для всіх груп населення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проведення інформаційно-просвітницької кампанії «Рухаємося-значить живемо» у рамках реалізації соціального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«Активні парки – локації здорової України»</w:t>
            </w:r>
          </w:p>
        </w:tc>
        <w:tc>
          <w:tcPr>
            <w:tcW w:w="2129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 час проведення занять з рухової активності населення на територіях 19-ти спеціально обладнаних в області Активних парків, в рамках соціального проекту «Активні парки – локації здорової України», штатними координаторами і волонтерами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дилася системна інформаційно-просвітницька кампанія під гаслом «Рухаємося – значить живемо», в ході якої учасникам заходів, незалежно від віку і статі, у доступній формі надавалися роз’яснення про переваги здорового способу життя та систематичної рухової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ктивності для зміцнення фізичного здоров’я, підвищення працездатності та активного довголіття.   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Запроваджено систему раннього втручання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результатами аналізу потреб населення адміністративно-т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ериторіальної одиниці в послузі раннього втручання вивчити питання щодо створення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обласної державної адміністрації 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елементами раннього втручання в області надаються: комунальним некомерційним підприємством «Сімейна поліклініка» Чернігівської міської ради,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унальною установою «Обласний центр комплексної реабілітації дітей з інвалідністю «Відродження» Чернігівської обласної державної адміністрації, 16 інклюзивно-ресурсними центрами. </w:t>
            </w:r>
          </w:p>
          <w:p w:rsidR="003B0859" w:rsidRDefault="008609C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Окремо центр раннього втручання на базі діючої мережі закладів охорони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'я, дошкільної освіти, соціального захисту населення, центрів надання соціальних послуг в області не створювався.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5. Освітня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Стратегічна ціль 5.1.: освітні потреби дорослих, молоді та дітей забезпечені якісною освітою продовж життя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Підвищено рівень якості надання освітніх послуг у закладах загальної середньої освіти</w:t>
            </w:r>
          </w:p>
        </w:tc>
      </w:tr>
      <w:tr w:rsidR="003B0859">
        <w:trPr>
          <w:gridAfter w:val="1"/>
          <w:wAfter w:w="14" w:type="dxa"/>
          <w:trHeight w:val="3986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2023/2024 навчальний рік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сформувати мережу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іальних класів закладів загальної середньої освіти відповідно до потреб громади для здобуття освіти дітьми з особливими освітніми потребами за місцем їх проживання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ьких, селищних рад (у порядку рекомендації)</w:t>
            </w:r>
          </w:p>
          <w:p w:rsidR="003B0859" w:rsidRDefault="003B0859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Сформовано мережу спеціальних класів у закладах загальної середньої освіти області.</w:t>
            </w:r>
            <w:r>
              <w:rPr>
                <w:rFonts w:ascii="Calibri" w:eastAsia="Calibri" w:hAnsi="Calibri" w:cs="Calibri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оперативною інформацією місцевих органів управління освітою станом на 01 квітня 2024 року в області функціонують 4 спеціальні класи, зокрема 3 класи (18 учнів) у комунальному закладі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ліцей» Чернігівської обласної ради, 1 клас (10 учнів)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Чернігівській загальноосвітній школі І-ІІІ ступенів № 33 Чернігівської міської ради.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3B0859" w:rsidRDefault="003B0859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освітнього процесу для дітей, які перебувають на стаціонарному лікуванні або яким надається реабілітаційна допомога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Відповідно до заяв батьків учні, які перебувають на стаціонарному лікуванні в КЛПЗ «Чернігівська обласна дитяча лікарня», мають можливість отримувати освітні послуги.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надання зазначених послуг Управлінням освіти Чернігівської міської ради визначено баз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овий заклад – Чернігівську  загальноосвітню  школу І-ІІІ ступенів №19 Чернігівської міської ради.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дистанційного навчання усіх освітніх рівнів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навчання щодо професійної кваліфікації педагогічних працівників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2023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-6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і науки обласної державної адміністрації,</w:t>
            </w:r>
          </w:p>
          <w:p w:rsidR="003B0859" w:rsidRDefault="008609C5">
            <w:pPr>
              <w:spacing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Чернігівський обласний інститут післядипломної педагогічної освіти                  ім. К.Д.Ушинського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Із метою розвитку та вдосконалення професійної, інклюзивної, комунікативної, психологічної компетентностей протягом                            2024 року пройшли навчання 5008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педагогічні працівники закладів освіти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області за програмами підвищення кваліфікації.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заклади освіти необхідною комп’ютерною технікою для організації дистанційного навчання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Завдяки співпраці з міжнародними організаціями  для організації дистанційного та змішаного навчання у 2023 році отримано комп’ютерн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ого обладнання в кількості  6968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одиниць та  у 2024 році в кількості  2573 одиниці.</w:t>
            </w:r>
          </w:p>
          <w:p w:rsidR="003B0859" w:rsidRDefault="008609C5">
            <w:pPr>
              <w:spacing w:line="240" w:lineRule="auto"/>
              <w:ind w:firstLine="46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доступ до мережі «Інтернет» в закладах освіти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2023/2024 навчальному році в області функціонує 393 заклади загальної середньої освіти: 379 закладів освіти області підключено до широкосмугового (оптичного)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інтернету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що становить 96%, 14 закладів освіти області використовують інші види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інтернету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(мобі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льна точка доступу, технологія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ADSL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модемна, абонентська телефонна лінія тощо), що становить 4%.</w:t>
            </w:r>
          </w:p>
          <w:p w:rsidR="003B0859" w:rsidRDefault="008609C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удосконалення в закладах освіти автоматизованої системи обліку академічної успішності студентів, відвідування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занять, результатів навчання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закладах вищої освіти Чернігівської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впроваджено автоматизовану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систему управління закладом освіти АСУ «ВНЗ»,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якої вноситься вся необхідна інформація щодо організації освітнього процесу, а також система обліку академічної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успішності студентів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(електронні особисті кабінети здобувачів, викладачів, навчальні плани, індивідуальні навчальні плани, розподіл навантаження, розклад, контингент здобувачів, накази, розпорядження, електронні відомості, електронні зведені відомості тощо).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Також заклади мают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електронний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репозитарій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(архів) наукових праць та індивідуальних завдань здобувачів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(всі роботи та звіти, у т.ч. й дипломні роботи виконуються і зберігаються в електронному вигляді без друку на паперових носіях)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продовження формування інформаційного ресурсу бібліотек закладів вищої освіти області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Інформаційні цифрові ресурси бібліотек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вищої освіти Чернігівської області постійно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оновлюються.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Всі заклади використовують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онну базу навчально-методичного забезпечення та систему дистанційного навчання на основі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яка включає все необхідне навчально-методичне забезпечення з усіх навчальних дисциплін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3B0859" w:rsidRDefault="008609C5">
            <w:pPr>
              <w:spacing w:line="240" w:lineRule="auto"/>
              <w:ind w:firstLine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Бібліотеки закладів вищої освіти забезпечують якісний та оперативний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 до власних інформаційних ресурсів та світових джерел інформації. До послуг користувачів завжди доступний електронний каталог, що надає інформацію про наявні у бібліотеках джерела, бібліографічні та фактографічні бази даних online-сервіси на допомогу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світньому та науковому процесам закладів вищої освіти з цілодобовим доступом.</w:t>
            </w:r>
          </w:p>
          <w:p w:rsidR="003B0859" w:rsidRDefault="008609C5">
            <w:pPr>
              <w:spacing w:line="240" w:lineRule="auto"/>
              <w:ind w:firstLine="47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базі бібліотек здійснюється перевірка письмових робіт здобувачів та науково-педагогічних працівників на плагіат. Відповідно до затверджених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нормативних актів обов’язковій перевірці на плагіат підлягають бакалаврські і магістерські роботи, тексти дисертаційних досліджень, наукових статей, монографій та студентських робіт, які беруть участь у всеукраїнських і міжнародних конкурсах та олімпіадах.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Забезпечено вільний доступ громадян без медичної освіти до необхідних медичних знань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звіт про кількість закладів медичної освіти, доступних для громадян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 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986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Підготовлений звіт про кількість закладів медичної освіти, доступних для громадян з інвалідністю.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оприлюднити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кількість закладів медичної освіти, доступних для громадян з інвалідністю, на офіційному сайті Управління охорони здоров’я обласної державної адміністрації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кількість закладів медичної освіти, доступних для громадян з інвалідністю оприлюднений на офіційному сайті Управління охорони здоров’я Чернігівської обласної державної адміністрації, за посиланням: https://uoz.cn.ua/inv2024.pdf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tabs>
                <w:tab w:val="left" w:pos="3018"/>
                <w:tab w:val="center" w:pos="769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Актуалізовано освітні програми закладів вищої освіти з питань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єрності</w:t>
            </w:r>
            <w:proofErr w:type="spellEnd"/>
          </w:p>
        </w:tc>
      </w:tr>
      <w:tr w:rsidR="003B0859">
        <w:trPr>
          <w:gridAfter w:val="1"/>
          <w:wAfter w:w="14" w:type="dxa"/>
          <w:trHeight w:val="2910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навчання з підвищення кваліфікації директорів закладів загальної середньої освіти і закладів дошкільної освіти щодо організації інклюзивної освіти в закладі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 Чернігівський обласний інститут післядипломної педагогічної освіти  ім. К.Д.Ушинського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ІІІ кварталі 2024 року пройшли навчання за програмами 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двищення кваліфікації 14 керівників закладів загальної середньої та дошкільної освіти області з питань організації інклюзивної освіти в закладі освіти.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5613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ровести навчання з підвищення кваліфікації фахівців закладів загальної середньої освіти і закладів дошкільної освіти щодо забезпечення методології інклюзивної освіти в закладі, що базується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біопсихосоціальній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моделі міжнародної кваліфікації функціонуван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ня, і роботі з допоміжними засобами реабілітації і навчання </w:t>
            </w:r>
          </w:p>
          <w:p w:rsidR="003B0859" w:rsidRDefault="003B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Вродовж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І півріччя 2024 року 86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фахівців закладів загальної середньої та дошкільної освіти пройшли навчання з підвищення кваліфікації, під час якого сформували і розвинули інклюзивну компетентність.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ІІІ квартал 2024 року навчання фахівців закладів загальної середньої, дошкільної освіт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(учителі-дефектологи,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реабілітологи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тощо) з відповідних питань не було заплановано.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784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Завдання: Створено умови для організації національного та міжнародного обміну досвідом фахівців освіти усіх рівнів, фахівців інклюзивно-ресурсних центрів, батьківської спільноти та профільних громадських об'єднань</w:t>
            </w:r>
          </w:p>
        </w:tc>
      </w:tr>
      <w:tr w:rsidR="003B0859">
        <w:trPr>
          <w:gridAfter w:val="1"/>
          <w:wAfter w:w="14" w:type="dxa"/>
          <w:trHeight w:val="3348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налагодження співпраці з громадськими організаціями, що опікуються питаннями освіти осіб з особливими освітніми потребами, в рамках міжнародних проєктів</w:t>
            </w:r>
          </w:p>
        </w:tc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ських, селищних рад (у порядку рекомендації),</w:t>
            </w:r>
          </w:p>
          <w:p w:rsidR="003B0859" w:rsidRDefault="008609C5">
            <w:pPr>
              <w:spacing w:line="240" w:lineRule="auto"/>
              <w:ind w:left="120" w:firstLine="22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Протягом квітня-травня 2024 року для 111 педагогічних працівників, які працюють з дітьми з особливими освітніми потребами, та фахівців інклюзивно-ресурсних центрів області проведено, у межах ініціативи «Стаємо сильнішими разом!» швейцарсько-українського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DECIDE, 30-годинний курс «Відновлення спроможності інклюзивно-ресурсних центрів забезпечувати якісні послуги у громадах в умовах війни» та 6-годинний курс «Відновлення та формування спроможності інклюзивно-ресурсних центрів забезпечувати освіту дітей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що мають психологічну травму».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 серпня 2024 року для 28 педагогічних працівників, які працюють з дітьми з особливими освітніми потребами, та фахівців інклюзивно-ресурсних центрів області проведено у межах ініціативи «Стаємо сильнішими разом!» швейца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рсько-українського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DECIDE 6-годинний курс «Відновлення та формування спроможності інклюзивно-ресурсних центрів забезпечувати освіту дітей, що мають психологічну травму».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https://docs.google.com/document/d/1Ac76hoHShQaoA2L7sUNU7B1uC2QDQrErSwYyvcoMpB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M/edit</w:t>
            </w:r>
          </w:p>
        </w:tc>
      </w:tr>
      <w:tr w:rsidR="003B0859">
        <w:trPr>
          <w:gridAfter w:val="1"/>
          <w:wAfter w:w="14" w:type="dxa"/>
          <w:trHeight w:val="2054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просвітницькі заходи для педагогічних працівників закладів освіти щодо роботи з дітьми з особливими освітніми потребами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3B0859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291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5.2.: потенціал кожної особи розкривається завдяки інклюзивній освіті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мережу та підтримку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ресурсних центрів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навчання фахівців інклюзивно-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ресурсних центрів, які надають послуги дітям з особливими освітніми потребами та їх родинам, щодо сучасних практик впровадження інклюзивної освіти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 освіти і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859" w:rsidRDefault="003B0859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 лютого 2024 року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ресурсним центром підтримки інклюзивної освіти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Чернігівського обласного інституту післядипломної педагогічної освіти імені К.Д. Ушинського проведено обласний семінар для директорів інклюзивно-ресурсних центрів області на тем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«Особливості консультування батьків в умовах інклюзивно-ресурсного центру»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(17 учасників).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18 до 22 березня 2024 року у Чернігівському обласному інституті післядипломної педагогічної освіти імені К.Д. Ушинського проведено курси підвищення кваліфікації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програмою «Директори та фахівці інклюзивно-ресурсних центрів» (32 особи)).</w:t>
            </w:r>
          </w:p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 травня 2024 року ресурсним центром підтримки інклюзивної освіти Чернігівського обласного інституту післядипломної педагогічної освіти імені К.Д. Ушинського проведено обласний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фахівців інклюзивно-ресурсних центрів області на тему: «Взаємодія та співпраця ІРЦ із закладами, що надають додаткові послуги дітям з особливими освітніми потребами». У заході взяли участь 50  педагогів.</w:t>
            </w:r>
          </w:p>
          <w:p w:rsidR="003B0859" w:rsidRDefault="008609C5">
            <w:pPr>
              <w:spacing w:after="160" w:line="259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вересня 2024 року ресурсним центром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підтримки інклюзивної освіти Чернігівського обласного інституту післядипломної педагогічної освіти імені К.Д. Ушинського проведено для фахівців інклюзивно-ресурсних центрів обласний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«Актуальні питання діяльності інклюзивно-ресурсних центрі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 2024/2025 навчальному році» (17 учасників). </w:t>
            </w:r>
          </w:p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інклюзивно-ресурсні центри методичними матеріалами та обладнанням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Методичні матеріали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корекційно-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розвиткове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обладнання інклюзивно-ресурсних центрів протягом 2024 року оновлення не потребували.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3B0859">
        <w:trPr>
          <w:gridAfter w:val="1"/>
          <w:wAfter w:w="14" w:type="dxa"/>
          <w:trHeight w:val="33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інклюзивно-ресурсні центри достатньою кількістю кваліфікованих фахівців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комплексності психолого-педагогічної оцінки та супроводу дітей з особливими освітніми потребами у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інклюзивно-ресурсних центрах області працює 99 фахівців (консультантів), що становить 95% необхідного кадрового забезпечення.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співпрацю фахівців інклюзивно-ресурсних центрів та закладів освіти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Здійснюється робота щодо створення умов для реалізації індивідуальної освітньої траєкторії для дітей з особливими освітніми потребами в закладах дошкільної та загальної середньої освіти. 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І кварталі 2024 року фахівці                 16 інклюзивно-ресурсн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 центрів взяли участь у планових засіданнях 989 команд психолого-педагогічного супроводу учнів з особливими освітніми потребами у 198 закладах загальної середньої освіти та 331 команді психолого-педагогічного супроводу вихованців з особливими освітніми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отребами у 84 закладах дошкільної освіти.</w:t>
            </w:r>
          </w:p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Впродовж  травня 2024 року фахівці 16 інклюзивно-ресурсних центрів області взяли участь у планових засіданнях 993 команд психолого-педагогічного супроводу учнів з особливими освітніми потребами у 198 закладах загал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ьної середньої освіти та у 362 командах психолого-педагогічного супроводу дітей з особливими освітніми потребами у 86 закладах дошкільної освіти,  </w:t>
            </w:r>
          </w:p>
          <w:p w:rsidR="003B0859" w:rsidRDefault="008609C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661 дитина пройшла комплексну оцінку психолого-педагогічного розвитку та отримала відповідний висновок. </w:t>
            </w:r>
          </w:p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 на 25 червня поточного року на базі інклюзивно-ресурсних центрів області отримують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корекційно-розвиткові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послуги 489 дітей з особливими освітніми потребами.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Впродовж вересня 2024 року фахівці  інклюзивно-ресурсних центрів області взяли участь у планови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 засіданнях команд психолого-педагогічного супроводу 1060 учнів з особливими освітніми потребами в закладах загальної середньої освіти та у командах психолого-педагогічного супроводу 247 дітей з особливими освітніми потребами в закладах дошкільної освіти.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Станом на 01.09.2024 комплексну оцінку розвитку пройшли 1445 дітей. 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базі інклюзивно-ресурсних центрів   отримують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корекційно-розвиткові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послуги 523 дитини з особливими освітніми потребами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https://docs.google.com/document/d/1Ac76hoHShQaoA2L7sUNU7B1uC2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QDQrErSwYyvcoMpBM/edit</w:t>
            </w:r>
          </w:p>
          <w:p w:rsidR="003B0859" w:rsidRDefault="003B0859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продовжити  процес формування мережі інклюзивно-ресурсних центрів відповідно до нормативів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3B0859" w:rsidRDefault="008609C5">
            <w:pPr>
              <w:spacing w:line="240" w:lineRule="auto"/>
              <w:ind w:left="120" w:firstLine="22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</w:tc>
        <w:tc>
          <w:tcPr>
            <w:tcW w:w="1843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області створено розгалужену мережу інклюзивно-ресурсних центрів. Станом на 01 липня 2024 року їх 16 (у містах Чернігів, Прилуки, Ніжин, Новгород-Сіверський, територіальних громадах – Бахмацькій,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Вертіївській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Ічнянській,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Новобілоуській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Бобровицькій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Носівській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Менській,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Талалаївській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Варвинській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). Крім того, діє Козелецька філія комунальної установи «Інклюзивно-ресурсний центр»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Новобілоуської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сільської ради Чернігівського району.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Також функціонує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ресурсний центр підтримки інклюзивної освіти Чернігівського обласного інституту післядипломної педагогічної освіти імені К.Д.Ушинського.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наявність фахівців за  професією «асистент вчителя»</w:t>
            </w:r>
          </w:p>
        </w:tc>
      </w:tr>
      <w:tr w:rsidR="003B0859">
        <w:trPr>
          <w:gridAfter w:val="1"/>
          <w:wAfter w:w="14" w:type="dxa"/>
          <w:trHeight w:val="3477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фахівців за професією «асистент вчителя»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базі комунального закладу «Прилуцький гуманітарно-педагогічний фаховий коледж імені Івана Франка» Чернігівської обласної ради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комунальний заклад «Прилуцький гуманітарно-педагогічний фаховий коледж імені Івана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Франка» Чернігівської обласної ради (у порядку рекомендації)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01.07.2024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Виконано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комунальному закл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аді «Прилуцький гуманітарно-педагогічний фаховий коледж імені Івана Франка» Чернігівської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навчання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здійснено випуск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дестьох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фахівців за професією «асистент вчителя».</w:t>
            </w:r>
          </w:p>
        </w:tc>
      </w:tr>
      <w:tr w:rsidR="003B0859">
        <w:trPr>
          <w:gridAfter w:val="1"/>
          <w:wAfter w:w="14" w:type="dxa"/>
          <w:trHeight w:val="2635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здійснити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працевлаштування фахівців, які здобули професію «асистент вчителя»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3B0859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10-ти випускників, які отримали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професію «асистент вчителя»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комунальному закладі «Прилуцький гуманітарно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-педагогічний фаховий коледж імені Івана Франка» Чернігівської обласної ради в 2024 році, 5 працюють за фахом,                                   1 продовжує навчання в університеті,  1 у декретній відпустці, 3 працюють не за фахом.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 заклади освіти на всіх рівнях освіти допоміжними засобами для навчання та спеціальними підручникам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посібниками, в тому числі надрукованими шрифтом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осіб з особливими освітніми потребами допоміжними засобами навчання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ім. К.Д.Ушинського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Станом на 01.09.2024 125 закладів загальної середньої освіти (61%), в яких організовано інклюзивне навчання, забезпечено допоміжними засобами навчання.</w:t>
            </w:r>
          </w:p>
          <w:p w:rsidR="003B0859" w:rsidRDefault="008609C5">
            <w:pPr>
              <w:spacing w:line="240" w:lineRule="auto"/>
              <w:ind w:firstLine="3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 осіб з особливими освітніми потребами спеціальними підручниками, посібниками, в тому числі надрукованими шрифтом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ефективної організації освітнього процесу, учні з функціональними порушеннями зору на 100 % забезпечені підручниками, посібниками надрукованими шрифтом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Брайля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здобуття освіти особами з особливими освітніми потребами відповідно до їхніх потреб та можливостей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3B0859" w:rsidRDefault="003B085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області створено умови для здобуття освіти дітьми з особливими освітніми потребами за місцем їх проживання.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Станом на 30 травня2024 року в області у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87 закладах дошкільної освіти функціонують  222 інклюзивні групи, в яких виховується 371 дитина з особливими освітніми потребами, освітній процес забезпечують 212 асистентів вихователя та 2 асистенти дитини.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198 закладах загальної середнь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ої освіти діють 711 інклюзивних класів, в яких отримують освітні послуги 993 дитини з особливими освітніми потребами, освітній процес забезпечують 718 асистентів вчителя та 7 асистентів дитини.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підвезення дітей з особливими освітніми потребами, які цього потребують, до закладу освіти та у зворотному напряму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2023/2024 навчальному році організованим підвозом  забезпечено 100% учнів з особливими освітніми потребами, які навчаються за очною та змішаною формами до закладів освіти та у зворотному напряму. Крім того, у закладах освіти області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є 33 спеціальних шкіл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ьних автобусів, обладнаних місцями для осіб з інвалідністю.</w:t>
            </w:r>
          </w:p>
          <w:p w:rsidR="003B0859" w:rsidRDefault="008609C5">
            <w:pPr>
              <w:spacing w:line="240" w:lineRule="auto"/>
              <w:ind w:firstLine="3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з підвищення професійної кваліфікації педагогічних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і науки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Чернігівський обласний інститут післядипломної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дагогічної освіти  ім. К.Д.Ушинського              ( 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Здійснюються заходи щодо підвищення професійної компетентності педагогів, які працюють в інклюзивних групах, класах, гуртках.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метою вдосконалення раніше набутих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професійних компетентностей та формування нових в межах професійної діяльності протягом І кварталу 2024 року було організовано навчання за програмами підвищення кваліфікації в Чернігівському обласному інституті післядип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ломної педагогічної освіти імені К.Д.Ушинського для 164 педагогічних працівників закладів освіти області, які забезпечують освітній процес в інклюзивних класах, групах, гуртках.</w:t>
            </w:r>
          </w:p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Впродовж  ІІ кварталу 2024 року було організовано навчання за програмами підви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щення кваліфікації в Чернігівському обласному інституті післядипломної педагогічної освіти імені К.Д.Ушинського для 158 педагогічних працівників закладів освіти області, які забезпечують освітній процес в інклюзивних класах, групах, гуртках.</w:t>
            </w:r>
          </w:p>
          <w:p w:rsidR="003B0859" w:rsidRDefault="008609C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ІІІ кварталі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2024 року організовано навчання за програмами підвищення кваліфікації в Чернігівському обласному інституті післядипломної педагогічної освіти імені К.Д.Ушинського для 25 педагогічних працівників закладів освіти області, які забезпечують освітній процес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інклюзивних класах, групах, гуртках.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профілактичні заходи зі здобувачами освіти з питань  запобігання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проявам насильства,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і науки обласної державної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метою формування у здобувачів освіти навичок безпечної поведінки, попередження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гендерно-обумовленого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насильства, конфліктів,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навичок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толерантного міжособистісного спілкування, подолання стигматизації та запобігання різним формам дискримінації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 закладах освіти працівниками психологічної служби здійснюється впровадження інформаційно-просвітницьких програм Міністерства освіти і науки України:  «Особиста гідність. Безпека життя, Громадянська позиція», «Навчіть дитину захищатися», «Вчимо дитину зах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ищатися», «Я вмію себе захистити», «Вирішую конфлікти та будую мир навколо себе», «Вирішення конфліктів мирним шляхом» тощо.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базі Навчально-методичного центру психологічної служби у системі освіти Чернігівської області Чернігівського обласного інститут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 післядипломної педагогічної освіти імені К.Д. Ушинського функціонує консультаційний кабінет психологічної допомоги учасникам освітнього процесу.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Навчання педагогічних працівників із числа вихователів закладів дошкільної освіти, вчителів закладів загально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ї середньої освіти, працівників психологічної служби системи освіти області здійснюється працівниками Навчально-методичного центру психологічної служби у системі освіти Чернігівської області  шляхом проведення виїзних семінарів-тренінгів та у рамках навчан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ня за програмами підвищення кваліфікації.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Працівники психологічної служби системи освіти області здійснюють психологічний та соціально-педагогічний супровід учасників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освітнього процесу, надають групові та індивідуальні консультації, у тому числі, дітям 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сім’ям, які перебувають у складних життєвих обставинах; проводяться консультативні бесіди для здобувачів освіти усіх вікових категорій з проблеми адаптації до нових умов навчання; інформаційні заходи щодо запобігання різним формам дискримінації та насильс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тва в закладах освіти для усіх учасників освітнього процесу; тренінги з формування навичок толерантного міжособистісного спілкування, профілактики проявів расизму та інших форм екстремізму серед молоді.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https://docs.google.com/document/d/1Ac76hoHShQaoA2L7sUNU7B1uC2QDQrErSwYyvcoMpBM/edit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просвітницькі заходи для педагогічних працівників та батьків здобувачів освіти з метою формування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мікроклімату в закладах освіти, в яких здобувають освіту діти з особливими освітніми потребами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04 січня 2024 року педагогічні працівники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загальноосвітньої школи І-ІІІ ступенів імені Христини Алчевської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міської ради Чернігівської області взяли участь у психолого-педагогічному семінарі «Емоційна грамотність як показник психічного здоров'я особистості».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09 січня 2024 року педагогічні працівники Новгород-Сіверського державного ліцею імені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К.Д. Ушинського у рамках педагогічного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«Шукаємо життєві ресурси в собі»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 час психологічного практикуму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були ознайомлені з психологічними методами, які допомагають зміцнити власне психічне здоров’я і гармонізувати внутрішній 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 допомогою арт-терапевтичних технік відновили внутрішні ресурси.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Із метою формування позитивного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мікроклімату в закладах дошкільної освіти для педагогічних працівників, які забезпечують освітній процес в інклюзивних групах, до планів роботи внесено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лекційне заняття «Психологічний супровід дітей дошкільного віку з особливими освітніми потребами». </w:t>
            </w:r>
          </w:p>
          <w:p w:rsidR="003B0859" w:rsidRDefault="008609C5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 квітня 2024 року для вихователів та асистентів вихователів закладів дошкільної освіти проведено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вебінар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тему: «Ефективна співпраця фахівців закладу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світи з батьками дітей з особливими освітніми потребами».</w:t>
            </w:r>
          </w:p>
          <w:p w:rsidR="003B0859" w:rsidRDefault="008609C5">
            <w:pPr>
              <w:spacing w:line="240" w:lineRule="auto"/>
              <w:ind w:firstLine="47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Впродовж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кварталу 2024 року фахівцями Навчально-методичного центру психологічної служби у системі освіти Чернігівської області проведено тренінги на тему: «Подолання стресу в умовах війни» для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рацівників Чернігівського обласного інституту післядипломної педагогічної освіти імені К.Д. Ушинського, педагогічних працівників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Тупичівської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Ніжинської територіальних громад області.</w:t>
            </w:r>
          </w:p>
          <w:p w:rsidR="003B0859" w:rsidRDefault="008609C5">
            <w:pPr>
              <w:spacing w:line="240" w:lineRule="auto"/>
              <w:ind w:firstLine="4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Під час роботи приділено увагу фазам перебігу кризового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стану, характерним для кризи особливостям поведінки, реакціям на кризову ситуацію у дорослих та дітей, надано рекомендації щодо їх супроводу, представлено алгоритм психологічної підтримки та допомоги. Під час практичного блоку заходу учасники опрацювали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актичні вправи, техніки, спрямовані на пошук внутрішніх та зовнішніх ресурсів, визначення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копінг-стратегій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виходу з стресової, травматичної чи кризової ситуації.  Загальна кількість учасників понад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80 осіб.https://docs.google.com/document/d/1Ac76hoHShQaoA2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265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заходи для педагогічних працівників з питань профілактики емоційного вигорання, 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  <w:p w:rsidR="003B0859" w:rsidRDefault="003B085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метою психологічної просвіти щодо шляхів збереження ментального здоров’я учасників освітнього процесу та профілактики спричинених війною емоційних порушень у дітей та дорослих у закладах освіти області проходить інформаційна 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панія із упровадження Всеукраїнської програми ментального здоров’я «Ти як?». Протягом звітного періоду на офіційних сайтах та в соціальних мережах закладів освіти розміщено 93 публікації із рекомендаціями та порадами фахівців щодо подолання наслідків переж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итих стресових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травмуючих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подій. 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організації та проведення заходів у межах упровадження Всеукраїнської програми ментального здоров’я «Ти як?» залучаються практичні психологи та соціальні педагоги системи освіти області, педагогічні працівники, які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ройшли навчання за програмою підвищення кваліфікації «Перша психологічна допомога здобувачам освіти» на базі Чернігівського обласного інституту післядипломної педагогічної освіти імені К.Д. Ушинського.</w:t>
            </w:r>
          </w:p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9-12 січня 2024 року у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Києв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практичні психологи зак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ладів загальної середньої освіти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Корюківської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Прилуцької,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Варвинської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Іванівської,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Срібнянської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територіальних громад та методисти Навчально-методичного центру психологічної служби у системі освіти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Чернігівської області взяли участь у трені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нгу «Психологічна допомога: робота з різними категоріями вцілілих під час та після війни» у рамках навчання за українсько-німецьким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«Розбудова структур надання послуг та освітнього потенціалу для психосоціального забезпечення в Україні». Учасники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опрацювали теоретичний матеріал щодо надання психологічної допомоги і супроводу постраждалих, підвищили рівень професійної компетентності у наданні психологічної допомоги дітям, батькам та педагогам; відпрацювали навички застосування діагностичного інструм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ентарію щодо визначення ознак ПТСР, ознайомилися з протоколами роботи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перенаправлення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отримання клінічної допомоги дітям, які мають ознаки психічних порушень внаслідок війни. </w:t>
            </w:r>
          </w:p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 січня 2024 року практичним психологом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Прогресівського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закладу загально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ї середньої освіти І-ІІІ ступенів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Кіптівської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сільської ради Чернігівської області проведено тренінг для педагогічних працівників «Навички збереження ментального здоров’я» у рамках Всеукраїнської програми ментального здоров’я «Ти як?». </w:t>
            </w:r>
          </w:p>
          <w:p w:rsidR="003B0859" w:rsidRDefault="008609C5">
            <w:pPr>
              <w:spacing w:line="240" w:lineRule="auto"/>
              <w:ind w:firstLine="468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Управлінням освіти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і науки облдержадміністрації спільно з Чернігівським обласним інститутом післядипломної педагогічної освіти імені К.Д.Ушинського започатковано проведення обласного конкурсу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відеоробіт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учнівської молоді «Я ОК!», метою якого є відновлення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психоемоційного ста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ну здобувачів освіти, допомога у формуванні у них навичок життєстійкості. Конкурс проводився протягом квітня-травня 2024 року.</w:t>
            </w:r>
          </w:p>
          <w:p w:rsidR="003B0859" w:rsidRDefault="008609C5">
            <w:pPr>
              <w:spacing w:line="240" w:lineRule="auto"/>
              <w:ind w:firstLine="32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Понад 220 учасників, віком від 11 до 17 років, з 45 закладів освіти взяли участь у конкурсі. </w:t>
            </w:r>
          </w:p>
          <w:p w:rsidR="003B0859" w:rsidRDefault="008609C5">
            <w:pPr>
              <w:spacing w:line="240" w:lineRule="auto"/>
              <w:ind w:firstLine="18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Членами журі розглянуто конкурсні роботи, визначено переможців: </w:t>
            </w:r>
          </w:p>
          <w:p w:rsidR="003B0859" w:rsidRDefault="008609C5">
            <w:pPr>
              <w:spacing w:line="240" w:lineRule="auto"/>
              <w:ind w:firstLine="58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ab/>
              <w:t xml:space="preserve">диплом І ступеня отримала команда Ніжинського ліцею Ніжинської міської ради при Ніжинському державному університеті імені Миколи Гоголя за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відеороботу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«Хто ОК? Я ОК!»;</w:t>
            </w:r>
          </w:p>
          <w:p w:rsidR="003B0859" w:rsidRDefault="008609C5">
            <w:pPr>
              <w:spacing w:line="240" w:lineRule="auto"/>
              <w:ind w:firstLine="58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ab/>
              <w:t>дипломом ІІ ступеня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відзначено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відеороботу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«5 кроків до психоемоційної рівноваги» Віталія Тарасенка, учня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ліцею №1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Корюківської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міської ради;</w:t>
            </w:r>
          </w:p>
          <w:p w:rsidR="003B0859" w:rsidRDefault="008609C5">
            <w:pPr>
              <w:spacing w:line="240" w:lineRule="auto"/>
              <w:ind w:firstLine="58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команда   загальноо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світньої спеціалізованої школи І-ІІІ ступенів фізико-математичного профілю №12 м. Чернігів за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віде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ороботу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«Самодопомога» нагороджена диплом ІІІ ступеня.</w:t>
            </w:r>
          </w:p>
          <w:p w:rsidR="003B0859" w:rsidRDefault="008609C5">
            <w:pPr>
              <w:spacing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 базі Навчально-методичного центру психологічної служби у системі освіти Чернігівської області Чернігівського обласного інстит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уту післядипломної педагогічної освіти  імені К.Д. Ушинського функціонує консультаційний кабінет психологічної допомоги учасникам освітнього процесу. Протягом звітного періоду фахівцями центру проведено 14 консультацій зі здобувачами освіти та їх батьками.</w:t>
            </w:r>
          </w:p>
          <w:p w:rsidR="003B0859" w:rsidRDefault="008609C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t>https://docs.google.com/document/d/1Ac76hoH</w:t>
            </w: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ShQaoA2L7sUNU7B1uC2QDQrErSwYyvcoMpBM/edit</w:t>
            </w:r>
          </w:p>
        </w:tc>
      </w:tr>
      <w:tr w:rsidR="003B0859">
        <w:trPr>
          <w:gridAfter w:val="1"/>
          <w:wAfter w:w="14" w:type="dxa"/>
          <w:trHeight w:val="450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6. Економічна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Всі громадяни незалежно від віку, статі, сімейного стану чи стану здоров'я мають умови та можливості для працевлаштування, отримання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фінансових та інших ресурсів для заняття підприємництвом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самозайнятістю</w:t>
            </w:r>
            <w:proofErr w:type="spellEnd"/>
          </w:p>
        </w:tc>
      </w:tr>
      <w:tr w:rsidR="003B0859">
        <w:trPr>
          <w:gridAfter w:val="1"/>
          <w:wAfter w:w="14" w:type="dxa"/>
          <w:trHeight w:val="239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стимулювання малого і середнього підприємництва</w:t>
            </w:r>
          </w:p>
        </w:tc>
      </w:tr>
      <w:tr w:rsidR="003B0859">
        <w:trPr>
          <w:gridAfter w:val="1"/>
          <w:wAfter w:w="14" w:type="dxa"/>
          <w:trHeight w:val="289"/>
        </w:trPr>
        <w:tc>
          <w:tcPr>
            <w:tcW w:w="15032" w:type="dxa"/>
            <w:gridSpan w:val="10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Проведено інформаційні заходи щодо започаткування та здійснення підприємницької діяльності</w:t>
            </w:r>
          </w:p>
        </w:tc>
      </w:tr>
      <w:tr w:rsidR="003B0859">
        <w:trPr>
          <w:trHeight w:val="450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надання інформаційно-консультативної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економічного розвитку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організація «Регіональний фонд підтримки підприємництва по Чернігівський області»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(у порядку рекомендації), Агенція регіонального розвитку Чернігівської області (у порядку рекомендації), </w:t>
            </w:r>
          </w:p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сільських, селищних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 порядку рекомендації),</w:t>
            </w:r>
          </w:p>
          <w:p w:rsidR="003B0859" w:rsidRDefault="00860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Обласною державною адміністрацією спільно 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ержавною організацією «Регіональний фонд підтримки підприємництва по Чернігівській області» та Агенцією регіонального розвитку Чернігівської області надається постійна інформаційно - консультаційна підтримка (заходи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режимі) діючому бізнесу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підприємцям-початківцям, а також соціально вразливим на ринку праці верствам населення: ВПО, учасникам бойових дій, жінкам, жителям сільської місцевості, молоді. 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2024 року в рамках реалізації обласної Програми розвитку малого і середнього підп</w:t>
            </w:r>
            <w:r>
              <w:rPr>
                <w:sz w:val="24"/>
                <w:szCs w:val="24"/>
              </w:rPr>
              <w:t>риємництва на 2021-2027 роки проведено понад 40 інформаційно-консультаційних заходів (</w:t>
            </w:r>
            <w:proofErr w:type="spellStart"/>
            <w:r>
              <w:rPr>
                <w:sz w:val="24"/>
                <w:szCs w:val="24"/>
              </w:rPr>
              <w:t>вебінари</w:t>
            </w:r>
            <w:proofErr w:type="spellEnd"/>
            <w:r>
              <w:rPr>
                <w:sz w:val="24"/>
                <w:szCs w:val="24"/>
              </w:rPr>
              <w:t xml:space="preserve">, семінари, тренінги ) для підприємців з актуальних питань ведення бізнесу в умовах воєнного стану, фінансових інструментів підтримки підприємництва, можливостей </w:t>
            </w:r>
            <w:r>
              <w:rPr>
                <w:sz w:val="24"/>
                <w:szCs w:val="24"/>
              </w:rPr>
              <w:t>грантової підтримки, за участі територіальних підрозділів центральних органів виконавчої влади.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Також, 25.01.2024 проведено міжрегіональний економічний форум </w:t>
            </w:r>
            <w:r>
              <w:rPr>
                <w:sz w:val="24"/>
                <w:szCs w:val="24"/>
              </w:rPr>
              <w:lastRenderedPageBreak/>
              <w:t xml:space="preserve">«відновлення економіки на </w:t>
            </w:r>
            <w:proofErr w:type="spellStart"/>
            <w:r>
              <w:rPr>
                <w:sz w:val="24"/>
                <w:szCs w:val="24"/>
              </w:rPr>
              <w:t>деокупованих</w:t>
            </w:r>
            <w:proofErr w:type="spellEnd"/>
            <w:r>
              <w:rPr>
                <w:sz w:val="24"/>
                <w:szCs w:val="24"/>
              </w:rPr>
              <w:t xml:space="preserve"> територіях», а 29.02.2024 – регіональний форум «відновлення</w:t>
            </w:r>
            <w:r>
              <w:rPr>
                <w:sz w:val="24"/>
                <w:szCs w:val="24"/>
              </w:rPr>
              <w:t xml:space="preserve"> економіки Чернігівської області в умовах війни: діалог з бізнесом», спільно з Громадською організацією «розвиток бізнес-сектору України» та Чернігівською ТПП.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12.02.2024 по 12.03.2024 відбулась навчальна програма «комунікації, що продають», організована</w:t>
            </w:r>
            <w:r>
              <w:rPr>
                <w:sz w:val="24"/>
                <w:szCs w:val="24"/>
              </w:rPr>
              <w:t xml:space="preserve"> Агенцією регіонального розвитку Чернігівської області за підтримки 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InBev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Efes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</w:rPr>
              <w:t xml:space="preserve"> у партнерстві з БО «Ветеранський простір «</w:t>
            </w:r>
            <w:proofErr w:type="spellStart"/>
            <w:r>
              <w:rPr>
                <w:sz w:val="24"/>
                <w:szCs w:val="24"/>
              </w:rPr>
              <w:t>Серцевір</w:t>
            </w:r>
            <w:proofErr w:type="spellEnd"/>
            <w:r>
              <w:rPr>
                <w:sz w:val="24"/>
                <w:szCs w:val="24"/>
              </w:rPr>
              <w:t xml:space="preserve">» та Інститутом Медіації Партнерства. Метою цього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було посилення локальних бізнесів, зокрема – тих, що ведут</w:t>
            </w:r>
            <w:r>
              <w:rPr>
                <w:sz w:val="24"/>
                <w:szCs w:val="24"/>
              </w:rPr>
              <w:t>ься ветеранами або членами їх сімей.</w:t>
            </w:r>
          </w:p>
          <w:p w:rsidR="003B0859" w:rsidRDefault="008609C5">
            <w:pPr>
              <w:pStyle w:val="aff0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метою оперативного інформування представників підприємництва, на офіційних сайтах Чернігівської обласної державної адміністрації та Департаменту економічного розвитку обласної державної адміністрації, а також в соціал</w:t>
            </w:r>
            <w:r>
              <w:rPr>
                <w:sz w:val="24"/>
                <w:szCs w:val="24"/>
              </w:rPr>
              <w:t xml:space="preserve">ьній мережі </w:t>
            </w:r>
            <w:proofErr w:type="spellStart"/>
            <w:r>
              <w:rPr>
                <w:sz w:val="24"/>
                <w:szCs w:val="24"/>
                <w:lang w:val="en-US"/>
              </w:rPr>
              <w:t>Facbook</w:t>
            </w:r>
            <w:proofErr w:type="spellEnd"/>
            <w:r>
              <w:rPr>
                <w:sz w:val="24"/>
                <w:szCs w:val="24"/>
              </w:rPr>
              <w:t xml:space="preserve"> розміщувалася інформація щодо змін в законодавстві, фінансової підтримки, зокрема грантових та кредитних державних, міжнародних програм, та інша актуальна інформація для суб’єктів господарювання. Крім того, постійно актуалізуються матер</w:t>
            </w:r>
            <w:r>
              <w:rPr>
                <w:sz w:val="24"/>
                <w:szCs w:val="24"/>
              </w:rPr>
              <w:t>іали дайджестів щодо грантових можливостей для бізнесу, освітніх проєктів тощо.</w:t>
            </w:r>
          </w:p>
        </w:tc>
      </w:tr>
      <w:tr w:rsidR="003B0859">
        <w:trPr>
          <w:trHeight w:val="4832"/>
        </w:trPr>
        <w:tc>
          <w:tcPr>
            <w:tcW w:w="255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 фінансову підтримку суб’єктів малого і середнього підприємництва у формі фінансового кредиту найбільш ефективних інвестиційних проєктів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часткового відшкодування витрат підприємств області на участь у виставково-ярмаркових заходах на національному та міжнародному рівнях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економічного розвитку обласної державної адміністрації, </w:t>
            </w:r>
          </w:p>
          <w:p w:rsidR="003B0859" w:rsidRDefault="00860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організація «Регіональний фонд підтр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имки підприємництва по Чернігівський області» (у порядку рекомендації)</w:t>
            </w: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859" w:rsidRDefault="008609C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 на фінансову підтримку від суб’єктів малого і середнього підприємництва не надходили.</w:t>
            </w:r>
          </w:p>
        </w:tc>
      </w:tr>
    </w:tbl>
    <w:p w:rsidR="003B0859" w:rsidRDefault="003B08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0859" w:rsidRDefault="003B0859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 w:rsidP="00AF19DA">
      <w:pPr>
        <w:pStyle w:val="aff8"/>
        <w:spacing w:before="0" w:after="0"/>
        <w:ind w:left="10065" w:right="-314" w:firstLine="142"/>
        <w:jc w:val="right"/>
        <w:rPr>
          <w:rFonts w:ascii="Times New Roman" w:hAnsi="Times New Roman"/>
          <w:b w:val="0"/>
          <w:sz w:val="28"/>
          <w:szCs w:val="28"/>
        </w:rPr>
      </w:pPr>
    </w:p>
    <w:p w:rsidR="00AF19DA" w:rsidRDefault="00AF19DA" w:rsidP="00AF19D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19DA" w:rsidRDefault="00AF19DA" w:rsidP="00AF19D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19DA" w:rsidRDefault="00AF19DA" w:rsidP="00AF19D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19DA" w:rsidRPr="00AF19DA" w:rsidRDefault="00AF19DA" w:rsidP="00AF19DA">
      <w:pPr>
        <w:keepNext/>
        <w:keepLines/>
        <w:spacing w:line="240" w:lineRule="auto"/>
        <w:ind w:left="10065" w:right="-314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:rsidR="00AF19DA" w:rsidRDefault="00AF19DA" w:rsidP="00AF19D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19DA" w:rsidRDefault="00AF19DA" w:rsidP="00AF19D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ПОКАЗНИКИ</w:t>
      </w:r>
    </w:p>
    <w:p w:rsidR="00AF19DA" w:rsidRDefault="00AF19DA" w:rsidP="00AF19DA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результативності відповідно до цілей обласного Плану заходів на 2023-2024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</w:p>
    <w:tbl>
      <w:tblPr>
        <w:tblStyle w:val="23"/>
        <w:tblW w:w="1540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879"/>
        <w:gridCol w:w="845"/>
        <w:gridCol w:w="686"/>
        <w:gridCol w:w="487"/>
        <w:gridCol w:w="759"/>
        <w:gridCol w:w="687"/>
        <w:gridCol w:w="657"/>
        <w:gridCol w:w="487"/>
        <w:gridCol w:w="641"/>
        <w:gridCol w:w="687"/>
        <w:gridCol w:w="843"/>
        <w:gridCol w:w="73"/>
        <w:gridCol w:w="63"/>
        <w:gridCol w:w="1497"/>
        <w:gridCol w:w="1340"/>
        <w:gridCol w:w="958"/>
        <w:gridCol w:w="1318"/>
      </w:tblGrid>
      <w:tr w:rsidR="00AF19DA" w:rsidTr="00C63523">
        <w:trPr>
          <w:trHeight w:val="510"/>
          <w:tblHeader/>
        </w:trPr>
        <w:tc>
          <w:tcPr>
            <w:tcW w:w="1560" w:type="dxa"/>
            <w:vMerge w:val="restart"/>
            <w:shd w:val="clear" w:color="auto" w:fill="ECECEC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Мета/цілі</w:t>
            </w:r>
          </w:p>
        </w:tc>
        <w:tc>
          <w:tcPr>
            <w:tcW w:w="1960" w:type="dxa"/>
            <w:vMerge w:val="restart"/>
            <w:shd w:val="clear" w:color="auto" w:fill="ECECEC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Показник</w:t>
            </w:r>
          </w:p>
        </w:tc>
        <w:tc>
          <w:tcPr>
            <w:tcW w:w="875" w:type="dxa"/>
            <w:vMerge w:val="restart"/>
            <w:shd w:val="clear" w:color="auto" w:fill="ECECEC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Одиниця вимірювання</w:t>
            </w:r>
          </w:p>
        </w:tc>
        <w:tc>
          <w:tcPr>
            <w:tcW w:w="708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Базове значення</w:t>
            </w:r>
          </w:p>
        </w:tc>
        <w:tc>
          <w:tcPr>
            <w:tcW w:w="4537" w:type="dxa"/>
            <w:gridSpan w:val="7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Проміжні значення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Цільове значення</w:t>
            </w:r>
          </w:p>
        </w:tc>
        <w:tc>
          <w:tcPr>
            <w:tcW w:w="5383" w:type="dxa"/>
            <w:gridSpan w:val="5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Засоби моніторингу</w:t>
            </w:r>
          </w:p>
        </w:tc>
      </w:tr>
      <w:tr w:rsidR="00C63523" w:rsidTr="00C63523">
        <w:trPr>
          <w:trHeight w:val="510"/>
          <w:tblHeader/>
        </w:trPr>
        <w:tc>
          <w:tcPr>
            <w:tcW w:w="1560" w:type="dxa"/>
            <w:vMerge/>
            <w:shd w:val="clear" w:color="auto" w:fill="ECECEC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  <w:shd w:val="clear" w:color="auto" w:fill="ECECEC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5" w:type="dxa"/>
            <w:vMerge/>
            <w:shd w:val="clear" w:color="auto" w:fill="ECECEC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01.01.202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84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01.07.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677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660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01.07.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709" w:type="dxa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01.01.2025</w:t>
            </w:r>
          </w:p>
        </w:tc>
        <w:tc>
          <w:tcPr>
            <w:tcW w:w="1625" w:type="dxa"/>
            <w:gridSpan w:val="2"/>
            <w:shd w:val="clear" w:color="auto" w:fill="E7E6E6"/>
          </w:tcPr>
          <w:p w:rsidR="00AF19DA" w:rsidRDefault="00AF19DA" w:rsidP="002C41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Джерело даних</w:t>
            </w:r>
          </w:p>
        </w:tc>
        <w:tc>
          <w:tcPr>
            <w:tcW w:w="1394" w:type="dxa"/>
            <w:shd w:val="clear" w:color="auto" w:fill="E7E6E6"/>
          </w:tcPr>
          <w:p w:rsidR="00AF19DA" w:rsidRDefault="00AF19DA" w:rsidP="002C41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:rsidR="00AF19DA" w:rsidRDefault="00AF19DA" w:rsidP="002C41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Періодичність</w:t>
            </w:r>
          </w:p>
        </w:tc>
        <w:tc>
          <w:tcPr>
            <w:tcW w:w="1371" w:type="dxa"/>
            <w:shd w:val="clear" w:color="auto" w:fill="E7E6E6"/>
          </w:tcPr>
          <w:p w:rsidR="00AF19DA" w:rsidRDefault="00AF19DA" w:rsidP="002C41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Відповідальний</w:t>
            </w:r>
          </w:p>
        </w:tc>
      </w:tr>
      <w:tr w:rsidR="00AF19DA" w:rsidTr="00C63523">
        <w:trPr>
          <w:trHeight w:val="477"/>
        </w:trPr>
        <w:tc>
          <w:tcPr>
            <w:tcW w:w="15972" w:type="dxa"/>
            <w:gridSpan w:val="18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 xml:space="preserve">Напрям 1: 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AF19DA" w:rsidTr="00C63523">
        <w:trPr>
          <w:trHeight w:val="655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1.1. системи моніторингу і контролю забезпечують застосування норм і стандартів доступності об'єктів фізичного оточення і транспорту  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Пристосування громадських будівель, зокрема будівель і приміщень органів державної влади, які відповідають нормам та стандартам доступності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 відповідно до постанови КМУ від 26.05.2021                № 537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Пристосування головних входів до будівель органів виконавчої влади та місцевих державних адміністрацій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Сільські, селищні, міські ради, райдержадміністрації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AF19DA" w:rsidTr="00C63523">
        <w:trPr>
          <w:trHeight w:val="146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молодіжних центрів, що відповідають вимогам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доступності для всіх категорій молоді, у т.ч. молоді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Комунальна установа «Чернігівський обласний молодіжний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центр» Чернігівської обласної ради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2 роки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міністрації</w:t>
            </w:r>
          </w:p>
        </w:tc>
      </w:tr>
      <w:tr w:rsidR="00AF19DA" w:rsidTr="00C63523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молодіжних центрів, в яких поліпшено умови доступності їхніх приміщень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спортивних об'єктів, на яких створений або поліпшений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простір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146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представників органів місцевого самоврядування, які підвищили рівень інформаційної обізнаності з питань забезпечення доступності адміністративна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послуг у центрах надання адміністративних послуг з урахуванням потреб осіб з інвалідністю та інших мало мобільних груп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AF19DA" w:rsidTr="00C63523">
        <w:trPr>
          <w:trHeight w:val="422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1.2. об'єкти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Приміщення Управління охорони здоров'я облдержадміністрації, вхід у який   забезпечений інформаційними знаками про наявність та розташування входів (виходів) для осіб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Візуальна оцінка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доступності укриттів у закладах охорони здоров'я області, у тому числі і для осіб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Частка закладів освіти, у яких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укриття, зокрема засобами, що забезпечують доступ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Виконавчі органи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сільських, селищних, міських рад, керівники закладів освіти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раз на пів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року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ind w:righ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Управління освіти 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Заклади загальної середньої освіти, що є доступними для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груп населення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освітою місцевого самоврядування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1.3. фахівці у сфері містобудування, архітектури і транспорту та представники громадськості володіють необхідними знаннями і навичками та застосовують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норми і стандарти у сфері доступності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та недискримінації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працівників державних та комунальних закладів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культури, які взяли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 недискримінації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Департамент культури і туризму, національностей та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релігій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972" w:type="dxa"/>
            <w:gridSpan w:val="18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2. Інформаційна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Брайля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великошрифтовий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друк,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аудіодискрипція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тифлокоментування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2.1.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створених  фондів аудіо записів творів письменників Чернігівщини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Офіційний сайт Департаменту культури і туризму, національностей та релігій облдержадміністрації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Наявність розділу (банеру)на офіційному сайті Департаменту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одноразово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2.2. інформація, необхідна для забезпечення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щоденних потреб громадян, є доступною та актуальною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Люди з порушеннями слуху, мовлення,  які забезпечені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засобами не голосового виклику бригади екстреної медичної допомоги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Дані ЦЕМД та МК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Кількість договорів,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укладених закладами охорони здоров'я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 підприємством «УТОГ»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, для  </w:t>
            </w:r>
            <w:r>
              <w:rPr>
                <w:rStyle w:val="ae"/>
                <w:rFonts w:ascii="Times New Roman" w:hAnsi="Times New Roman" w:cs="Times New Roman"/>
                <w:spacing w:val="3"/>
                <w:sz w:val="21"/>
                <w:szCs w:val="21"/>
              </w:rPr>
              <w:t xml:space="preserve">подолання «комунікаційного бар’єру»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з особами, які мають порушення слуху та мовлення.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972" w:type="dxa"/>
            <w:gridSpan w:val="18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3.1. швидкісний Інтернет та засоби доступу доступні для всіх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закладів охорони здоров'я доступом до швидкісного Інтернету та засобами доступу до нього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психологічної реабілітації дітей, які мали доступ до W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iFi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осіб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559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Центри соціально-психологічної реабілітації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дітей 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бібліотек, які забезпечено комп’ютерними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тифлокомплексами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AF19DA" w:rsidRDefault="00AF19DA" w:rsidP="002C41AC">
            <w:pPr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1,2 (за потреби)</w:t>
            </w:r>
          </w:p>
        </w:tc>
        <w:tc>
          <w:tcPr>
            <w:tcW w:w="1559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972" w:type="dxa"/>
            <w:gridSpan w:val="18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молоді, яка була залучена до соціальної та (або) громадської участі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 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послугами з соціальної та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Комунальна установа «Чернігівський обласний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молодіжний центр» Чернігівської обласної ради 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Департамент сім'ї, молоді та спорту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облдержадміністрації</w:t>
            </w:r>
          </w:p>
        </w:tc>
      </w:tr>
      <w:tr w:rsidR="00AF19DA" w:rsidTr="00C63523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послугою кімнати «Дитячого простору» </w:t>
            </w:r>
          </w:p>
        </w:tc>
        <w:tc>
          <w:tcPr>
            <w:tcW w:w="875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395</w:t>
            </w:r>
          </w:p>
        </w:tc>
        <w:tc>
          <w:tcPr>
            <w:tcW w:w="677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2180</w:t>
            </w:r>
          </w:p>
        </w:tc>
        <w:tc>
          <w:tcPr>
            <w:tcW w:w="49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660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488</w:t>
            </w:r>
          </w:p>
        </w:tc>
        <w:tc>
          <w:tcPr>
            <w:tcW w:w="70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632</w:t>
            </w:r>
          </w:p>
        </w:tc>
        <w:tc>
          <w:tcPr>
            <w:tcW w:w="873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щокарталу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AF19DA" w:rsidTr="00C63523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скористалися послугами мобільних бригад</w:t>
            </w:r>
          </w:p>
        </w:tc>
        <w:tc>
          <w:tcPr>
            <w:tcW w:w="875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70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</w:tc>
        <w:tc>
          <w:tcPr>
            <w:tcW w:w="677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3531</w:t>
            </w:r>
          </w:p>
        </w:tc>
        <w:tc>
          <w:tcPr>
            <w:tcW w:w="49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660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552</w:t>
            </w:r>
          </w:p>
        </w:tc>
        <w:tc>
          <w:tcPr>
            <w:tcW w:w="70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  <w:tc>
          <w:tcPr>
            <w:tcW w:w="873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AF19DA" w:rsidTr="00C63523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скористались послугами «Телефону довіри»</w:t>
            </w:r>
          </w:p>
        </w:tc>
        <w:tc>
          <w:tcPr>
            <w:tcW w:w="875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70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677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49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центр соціально-психологічної реабілітації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4.2. держава сприяє підвищенню рівня здоров’я та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забезпеченню фізичної активності населення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" w:name="_2et92p0"/>
            <w:bookmarkEnd w:id="1"/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Захисників і Захисниць України, яким 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надана психологічна 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lastRenderedPageBreak/>
              <w:t>реабілітаційна допомога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5180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осіб, забезпечених послугою психіатричної допомоги, яка надається шляхом виїзду мобільних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мультидисциплінарних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команд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spacing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демобілізованих Захисників і Захисниць України, забезпечених медичним супроводом при проходженні медико-соціальних експертних комісій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spacing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дітей,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охоплених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Заклади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Аналіз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інформації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1 раз 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півроку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AF19DA" w:rsidRDefault="00AF19DA" w:rsidP="002C41AC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Населення, залучене до рухової активності та спорту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розміщених інформаційних повідомлень на власних ресурсах: веб-сайти,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тощо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 які взяли участь в обласних спортивних змаганнях.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273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», дитячо-юнацька спортивна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школа для осіб з інвалідністю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1783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 з інвалідністю, які взяли участь у навчально-тренувальних зборах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254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shd w:val="clear" w:color="auto" w:fill="auto"/>
            <w:vAlign w:val="center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 в рамках соціального проекту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Обласний центр </w:t>
            </w:r>
          </w:p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«Спорт для всіх», виконавчі органи сільських, селищних, міських рад</w:t>
            </w:r>
          </w:p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Департамент сім’ї, молоді та спорту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972" w:type="dxa"/>
            <w:gridSpan w:val="18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5. Освітня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Ціль 5.1. освітні потреби дорослих, молоді та дітей забезпечені якісною освітою продовж життя 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молодших спеціалістів з медичною освітою, які за фахом та профілем тематичного удосконалення пройшли курси підвищення кваліфікації 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1666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Листування з закладами охорони здоров'я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листів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спеціальних класів в закладах загальної середньої освіти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керівники закладів освіти 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Статистична звітність 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педагогічних працівників, які підвищили кваліфікацію з питань дистанційного навчання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3146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4346</w:t>
            </w: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4799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9033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ind w:left="-157" w:right="-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13408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18083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директорів ЗЗСО і ЗДО, які підвищили кваліфікацію щодо організації інклюзивної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освіти в закладі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ind w:right="-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138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обласний інститут післядипломної педагогічної освіти імені К.Д.Ушинсько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го              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Заклади освіти, забезпечені доступом до широкосмугового (оптичного)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інтернету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 освітою місцевого самоврядування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соціально-психологічної реабілітації дітей, які пройшли навчання в секторі ІТ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Центри соціально-психологічної реабілітації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5.2. потенціал кожної особи розкривається завдяки  інклюзивній освіті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 з ООП, які здобувають освіту в інклюзивних класах ЗЗСО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762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керівників закладів освіти 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Статистична звітність з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 з ООП, які здобувають освіту в інклюзивних групах ЗДО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Місцеві органи управління освітою, керівники закладів освіти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фахівців інклюзивно-ресурсних центрів, які продовжили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навчання щодо сучасних практик впровадження інклюзивної освіти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pStyle w:val="aff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К.Д.Ушинського              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972" w:type="dxa"/>
            <w:gridSpan w:val="18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AF19DA" w:rsidRDefault="00AF19DA" w:rsidP="002C41A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6. Економічна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Всі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самозайнятістю</w:t>
            </w:r>
            <w:proofErr w:type="spellEnd"/>
          </w:p>
        </w:tc>
      </w:tr>
      <w:tr w:rsidR="00AF19DA" w:rsidTr="00C63523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6.1. стимулювання малого і середнього підприємництва</w:t>
            </w:r>
          </w:p>
        </w:tc>
        <w:tc>
          <w:tcPr>
            <w:tcW w:w="1960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AF19DA" w:rsidTr="00C63523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F19DA" w:rsidRDefault="00AF19DA" w:rsidP="002C41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F19DA" w:rsidRDefault="00AF19DA" w:rsidP="002C41A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4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F19DA" w:rsidRDefault="00AF19DA" w:rsidP="002C41A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bookmarkEnd w:id="0"/>
    </w:tbl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AF19DA" w:rsidRDefault="00AF19D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sectPr w:rsidR="00AF19DA">
      <w:headerReference w:type="default" r:id="rId22"/>
      <w:headerReference w:type="first" r:id="rId23"/>
      <w:pgSz w:w="16834" w:h="11909" w:orient="landscape"/>
      <w:pgMar w:top="568" w:right="1440" w:bottom="28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C5" w:rsidRDefault="008609C5">
      <w:pPr>
        <w:spacing w:line="240" w:lineRule="auto"/>
      </w:pPr>
      <w:r>
        <w:separator/>
      </w:r>
    </w:p>
  </w:endnote>
  <w:endnote w:type="continuationSeparator" w:id="0">
    <w:p w:rsidR="008609C5" w:rsidRDefault="00860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charset w:val="00"/>
    <w:family w:val="auto"/>
    <w:pitch w:val="default"/>
  </w:font>
  <w:font w:name="Malgun Gothic">
    <w:panose1 w:val="020B05030200000200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C5" w:rsidRDefault="008609C5">
      <w:pPr>
        <w:spacing w:line="240" w:lineRule="auto"/>
      </w:pPr>
      <w:r>
        <w:separator/>
      </w:r>
    </w:p>
  </w:footnote>
  <w:footnote w:type="continuationSeparator" w:id="0">
    <w:p w:rsidR="008609C5" w:rsidRDefault="00860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88938"/>
      <w:docPartObj>
        <w:docPartGallery w:val="Page Numbers (Top of Page)"/>
        <w:docPartUnique/>
      </w:docPartObj>
    </w:sdtPr>
    <w:sdtEndPr/>
    <w:sdtContent>
      <w:p w:rsidR="003B0859" w:rsidRDefault="008609C5">
        <w:pPr>
          <w:pStyle w:val="afc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C63523">
          <w:rPr>
            <w:rFonts w:ascii="Times New Roman" w:hAnsi="Times New Roman" w:cs="Times New Roman"/>
            <w:noProof/>
          </w:rPr>
          <w:t>75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B0859" w:rsidRDefault="003B0859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59" w:rsidRDefault="008609C5">
    <w:pPr>
      <w:pStyle w:val="afc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Додаток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61D"/>
    <w:multiLevelType w:val="multilevel"/>
    <w:tmpl w:val="D226801C"/>
    <w:lvl w:ilvl="0">
      <w:start w:val="25"/>
      <w:numFmt w:val="decimal"/>
      <w:lvlText w:val="%1"/>
      <w:lvlJc w:val="left"/>
      <w:pPr>
        <w:ind w:left="675" w:hanging="675"/>
      </w:pPr>
    </w:lvl>
    <w:lvl w:ilvl="1">
      <w:start w:val="26"/>
      <w:numFmt w:val="decimal"/>
      <w:lvlText w:val="%1-%2"/>
      <w:lvlJc w:val="left"/>
      <w:pPr>
        <w:ind w:left="1287" w:hanging="720"/>
      </w:pPr>
    </w:lvl>
    <w:lvl w:ilvl="2">
      <w:start w:val="1"/>
      <w:numFmt w:val="decimal"/>
      <w:lvlText w:val="%1-%2.%3"/>
      <w:lvlJc w:val="left"/>
      <w:pPr>
        <w:ind w:left="1854" w:hanging="720"/>
      </w:pPr>
    </w:lvl>
    <w:lvl w:ilvl="3">
      <w:start w:val="1"/>
      <w:numFmt w:val="decimal"/>
      <w:lvlText w:val="%1-%2.%3.%4"/>
      <w:lvlJc w:val="left"/>
      <w:pPr>
        <w:ind w:left="2781" w:hanging="1080"/>
      </w:pPr>
    </w:lvl>
    <w:lvl w:ilvl="4">
      <w:start w:val="1"/>
      <w:numFmt w:val="decimal"/>
      <w:lvlText w:val="%1-%2.%3.%4.%5"/>
      <w:lvlJc w:val="left"/>
      <w:pPr>
        <w:ind w:left="3348" w:hanging="1080"/>
      </w:pPr>
    </w:lvl>
    <w:lvl w:ilvl="5">
      <w:start w:val="1"/>
      <w:numFmt w:val="decimal"/>
      <w:lvlText w:val="%1-%2.%3.%4.%5.%6"/>
      <w:lvlJc w:val="left"/>
      <w:pPr>
        <w:ind w:left="4275" w:hanging="1440"/>
      </w:pPr>
    </w:lvl>
    <w:lvl w:ilvl="6">
      <w:start w:val="1"/>
      <w:numFmt w:val="decimal"/>
      <w:lvlText w:val="%1-%2.%3.%4.%5.%6.%7"/>
      <w:lvlJc w:val="left"/>
      <w:pPr>
        <w:ind w:left="4842" w:hanging="1440"/>
      </w:pPr>
    </w:lvl>
    <w:lvl w:ilvl="7">
      <w:start w:val="1"/>
      <w:numFmt w:val="decimal"/>
      <w:lvlText w:val="%1-%2.%3.%4.%5.%6.%7.%8"/>
      <w:lvlJc w:val="left"/>
      <w:pPr>
        <w:ind w:left="5769" w:hanging="1800"/>
      </w:pPr>
    </w:lvl>
    <w:lvl w:ilvl="8">
      <w:start w:val="1"/>
      <w:numFmt w:val="decimal"/>
      <w:lvlText w:val="%1-%2.%3.%4.%5.%6.%7.%8.%9"/>
      <w:lvlJc w:val="left"/>
      <w:pPr>
        <w:ind w:left="6696" w:hanging="2160"/>
      </w:pPr>
    </w:lvl>
  </w:abstractNum>
  <w:abstractNum w:abstractNumId="1">
    <w:nsid w:val="0EB31A24"/>
    <w:multiLevelType w:val="multilevel"/>
    <w:tmpl w:val="0316B5B0"/>
    <w:lvl w:ilvl="0">
      <w:start w:val="1"/>
      <w:numFmt w:val="decimal"/>
      <w:lvlText w:val="%1)"/>
      <w:lvlJc w:val="left"/>
      <w:pPr>
        <w:ind w:left="92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F33A30"/>
    <w:multiLevelType w:val="multilevel"/>
    <w:tmpl w:val="2372126C"/>
    <w:lvl w:ilvl="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240B7585"/>
    <w:multiLevelType w:val="multilevel"/>
    <w:tmpl w:val="9984D08E"/>
    <w:lvl w:ilvl="0">
      <w:start w:val="1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488F48D3"/>
    <w:multiLevelType w:val="multilevel"/>
    <w:tmpl w:val="FCB0804E"/>
    <w:lvl w:ilvl="0">
      <w:start w:val="31"/>
      <w:numFmt w:val="bullet"/>
      <w:lvlText w:val="-"/>
      <w:lvlJc w:val="left"/>
      <w:pPr>
        <w:ind w:left="6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">
    <w:nsid w:val="4BDE35CD"/>
    <w:multiLevelType w:val="multilevel"/>
    <w:tmpl w:val="84BCADC4"/>
    <w:lvl w:ilvl="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4934355"/>
    <w:multiLevelType w:val="multilevel"/>
    <w:tmpl w:val="AD9A7C14"/>
    <w:lvl w:ilvl="0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5" w:hanging="360"/>
      </w:pPr>
    </w:lvl>
    <w:lvl w:ilvl="2">
      <w:start w:val="1"/>
      <w:numFmt w:val="lowerRoman"/>
      <w:lvlText w:val="%3."/>
      <w:lvlJc w:val="right"/>
      <w:pPr>
        <w:ind w:left="2125" w:hanging="180"/>
      </w:pPr>
    </w:lvl>
    <w:lvl w:ilvl="3">
      <w:start w:val="1"/>
      <w:numFmt w:val="decimal"/>
      <w:lvlText w:val="%4."/>
      <w:lvlJc w:val="left"/>
      <w:pPr>
        <w:ind w:left="2845" w:hanging="360"/>
      </w:pPr>
    </w:lvl>
    <w:lvl w:ilvl="4">
      <w:start w:val="1"/>
      <w:numFmt w:val="lowerLetter"/>
      <w:lvlText w:val="%5."/>
      <w:lvlJc w:val="left"/>
      <w:pPr>
        <w:ind w:left="3565" w:hanging="360"/>
      </w:pPr>
    </w:lvl>
    <w:lvl w:ilvl="5">
      <w:start w:val="1"/>
      <w:numFmt w:val="lowerRoman"/>
      <w:lvlText w:val="%6."/>
      <w:lvlJc w:val="right"/>
      <w:pPr>
        <w:ind w:left="4285" w:hanging="180"/>
      </w:pPr>
    </w:lvl>
    <w:lvl w:ilvl="6">
      <w:start w:val="1"/>
      <w:numFmt w:val="decimal"/>
      <w:lvlText w:val="%7."/>
      <w:lvlJc w:val="left"/>
      <w:pPr>
        <w:ind w:left="5005" w:hanging="360"/>
      </w:pPr>
    </w:lvl>
    <w:lvl w:ilvl="7">
      <w:start w:val="1"/>
      <w:numFmt w:val="lowerLetter"/>
      <w:lvlText w:val="%8."/>
      <w:lvlJc w:val="left"/>
      <w:pPr>
        <w:ind w:left="5725" w:hanging="360"/>
      </w:pPr>
    </w:lvl>
    <w:lvl w:ilvl="8">
      <w:start w:val="1"/>
      <w:numFmt w:val="lowerRoman"/>
      <w:lvlText w:val="%9."/>
      <w:lvlJc w:val="right"/>
      <w:pPr>
        <w:ind w:left="6445" w:hanging="180"/>
      </w:pPr>
    </w:lvl>
  </w:abstractNum>
  <w:abstractNum w:abstractNumId="7">
    <w:nsid w:val="593E6262"/>
    <w:multiLevelType w:val="multilevel"/>
    <w:tmpl w:val="09DA6318"/>
    <w:lvl w:ilvl="0">
      <w:start w:val="1"/>
      <w:numFmt w:val="bullet"/>
      <w:lvlText w:val="-"/>
      <w:lvlJc w:val="left"/>
      <w:pPr>
        <w:ind w:left="825" w:hanging="360"/>
      </w:pPr>
      <w:rPr>
        <w:rFonts w:ascii="Times New Roman" w:eastAsia="Arial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75261676"/>
    <w:multiLevelType w:val="multilevel"/>
    <w:tmpl w:val="E244E530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7892014"/>
    <w:multiLevelType w:val="multilevel"/>
    <w:tmpl w:val="C1F459F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startOverride w:val="25"/>
    </w:lvlOverride>
    <w:lvlOverride w:ilvl="1">
      <w:startOverride w:val="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59"/>
    <w:rsid w:val="003B0859"/>
    <w:rsid w:val="008609C5"/>
    <w:rsid w:val="00AF19DA"/>
    <w:rsid w:val="00C6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ody Text"/>
    <w:basedOn w:val="a"/>
    <w:link w:val="aff1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Основной текст Знак"/>
    <w:basedOn w:val="a0"/>
    <w:link w:val="aff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f2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11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f3">
    <w:name w:val="Основной текст_"/>
    <w:basedOn w:val="a0"/>
    <w:link w:val="12"/>
    <w:rPr>
      <w:spacing w:val="12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f3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f4">
    <w:name w:val="Hyperlink"/>
    <w:uiPriority w:val="99"/>
    <w:unhideWhenUsed/>
    <w:rPr>
      <w:color w:val="0000FF"/>
      <w:u w:val="single"/>
    </w:rPr>
  </w:style>
  <w:style w:type="paragraph" w:customStyle="1" w:styleId="13">
    <w:name w:val="Текст1"/>
    <w:basedOn w:val="a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y">
    <w:name w:val="doc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ypena">
    <w:name w:val="oypena"/>
    <w:basedOn w:val="a0"/>
  </w:style>
  <w:style w:type="paragraph" w:styleId="aff7">
    <w:name w:val="No Spacing"/>
    <w:uiPriority w:val="1"/>
    <w:qFormat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3882">
    <w:name w:val="388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8">
    <w:name w:val="Назва документа"/>
    <w:basedOn w:val="a"/>
    <w:next w:val="a"/>
    <w:rsid w:val="00AF19D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14">
    <w:name w:val="Название Знак1"/>
    <w:basedOn w:val="a0"/>
    <w:uiPriority w:val="10"/>
    <w:rsid w:val="00AF1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4">
    <w:name w:val="Table Normal4"/>
    <w:rsid w:val="00AF19DA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AF19DA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F19DA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AF19DA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annotation reference"/>
    <w:basedOn w:val="a0"/>
    <w:uiPriority w:val="99"/>
    <w:semiHidden/>
    <w:unhideWhenUsed/>
    <w:rsid w:val="00AF19DA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AF19DA"/>
    <w:pPr>
      <w:spacing w:before="120"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AF19DA"/>
    <w:rPr>
      <w:rFonts w:ascii="Calibri" w:eastAsia="Calibri" w:hAnsi="Calibri" w:cs="Calibri"/>
      <w:sz w:val="20"/>
      <w:szCs w:val="20"/>
    </w:rPr>
  </w:style>
  <w:style w:type="table" w:customStyle="1" w:styleId="51">
    <w:name w:val="5"/>
    <w:basedOn w:val="a1"/>
    <w:rsid w:val="00AF19DA"/>
    <w:pPr>
      <w:spacing w:before="120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4"/>
    <w:basedOn w:val="a1"/>
    <w:rsid w:val="00AF19DA"/>
    <w:pPr>
      <w:spacing w:before="120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15">
    <w:name w:val="Подзаголовок Знак1"/>
    <w:basedOn w:val="a0"/>
    <w:uiPriority w:val="11"/>
    <w:rsid w:val="00AF1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50">
    <w:name w:val="15"/>
    <w:basedOn w:val="TableNormal1"/>
    <w:rsid w:val="00AF19DA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14"/>
    <w:basedOn w:val="TableNormal1"/>
    <w:rsid w:val="00AF19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AF19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AF19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AF19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rsid w:val="00AF19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"/>
    <w:basedOn w:val="TableNormal1"/>
    <w:rsid w:val="00AF19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2"/>
    <w:rsid w:val="00AF19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TableNormal2"/>
    <w:rsid w:val="00AF19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TableNormal3"/>
    <w:rsid w:val="00AF19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"/>
    <w:basedOn w:val="TableNormal3"/>
    <w:rsid w:val="00AF19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"/>
    <w:basedOn w:val="TableNormal4"/>
    <w:rsid w:val="00AF19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"/>
    <w:basedOn w:val="TableNormal4"/>
    <w:rsid w:val="00AF19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nizhyn_youth_center/" TargetMode="External"/><Relationship Id="rId18" Type="http://schemas.openxmlformats.org/officeDocument/2006/relationships/hyperlink" Target="https://youtu.be/xAQWaypY29w" TargetMode="External"/><Relationship Id="rId3" Type="http://schemas.openxmlformats.org/officeDocument/2006/relationships/styles" Target="styles.xml"/><Relationship Id="rId21" Type="http://schemas.openxmlformats.org/officeDocument/2006/relationships/hyperlink" Target="https://griml.com/4wR1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NizhynYouthCenter/" TargetMode="External"/><Relationship Id="rId17" Type="http://schemas.openxmlformats.org/officeDocument/2006/relationships/hyperlink" Target="https://youtu.be/nMG6WthUvJ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NbtzFo9djIE" TargetMode="External"/><Relationship Id="rId20" Type="http://schemas.openxmlformats.org/officeDocument/2006/relationships/hyperlink" Target="https://www.youtube.com/watch?v=HuR3fVTVTTk&amp;list=PLKdPbaHB3uoZbR1IYHFuLiSnFO4TuwUWs&amp;index=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kor.mc.kub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3BDAyPAe00A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facebook.com/all4youth.cn" TargetMode="External"/><Relationship Id="rId19" Type="http://schemas.openxmlformats.org/officeDocument/2006/relationships/hyperlink" Target="https://www.youtube.com/watch?v=8YTSZza8nas&amp;list=PLKdPbaHB3uoZbR1IYHFuLiSnFO4TuwUWs&amp;index=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sms.cg.gov.ua/index.php?id=21604&amp;tp=1&amp;pg" TargetMode="External"/><Relationship Id="rId14" Type="http://schemas.openxmlformats.org/officeDocument/2006/relationships/hyperlink" Target="https://drive.google.com/drive/folders/1xOm6641KEhOxItWniMFvwLC3pIBawqxn?usp=sharin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BAB39-C865-42EF-90C7-76392D49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75</Pages>
  <Words>17042</Words>
  <Characters>97144</Characters>
  <Application>Microsoft Office Word</Application>
  <DocSecurity>0</DocSecurity>
  <Lines>809</Lines>
  <Paragraphs>227</Paragraphs>
  <ScaleCrop>false</ScaleCrop>
  <Company>Департамент соціального захисту ЧОДА</Company>
  <LinksUpToDate>false</LinksUpToDate>
  <CharactersWithSpaces>113959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</dc:creator>
  <cp:lastModifiedBy>departament_inform</cp:lastModifiedBy>
  <cp:revision>941</cp:revision>
  <dcterms:created xsi:type="dcterms:W3CDTF">2023-10-09T06:59:00Z</dcterms:created>
  <dcterms:modified xsi:type="dcterms:W3CDTF">2024-10-15T12:27:00Z</dcterms:modified>
</cp:coreProperties>
</file>